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Technology Risk Manager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&amp; Compliance</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Technology Risk Managers identify, assess, and mitigate the risks arising from an organization's use of information technology—including cyber risk, operational technology risk, third-party/vendor risk, AI model risk, and technology change risk. As digital systems underpin every business function and the regulatory scrutiny of technology risk intensifies (EU DORA, Basel IV for financial services, AI Act), organizations need senior professionals who can translate technical risk into business terms and build robust risk management frameworks.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conducting technology risk assessments using frameworks such as NIST RMF, COBIT, or FAIR, designing risk control frameworks and key risk indicators (KRIs), managing third-party and vendor risk programs, overseeing technology continuity and disaster recovery planning, ensuring regulatory compliance (DORA, SOX IT controls, PCI DSS, ISO 27001), managing AI model risk governance, and reporting to board risk committees. Technology Risk Managers also work on risk quantification—using models like FAIR to express technology risk in financial terms that boards can act on.</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Expertise in risk management frameworks (NIST RMF, FAIR, COBIT), regulatory compliance, and IT audit fundamentals (CISA certification is common), combined with enough technical literacy to assess cybersecurity, cloud, and AI risks effectively. Financial modeling for risk quantification and the ability to present risk in business terms to non-technical boards are essential senior competencies. Soft skills: intellectual rigor, objectivity, and the courage to escalate uncomfortable risk findings to leadership.</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The best Technology Risk Managers combine the analytical precision of an auditor with the business acumen of a strategist. They are comfortable communicating with both technical teams and board members and can translate between these audiences fluently. They maintain independence and objectivity even under organizational pressure to downplay risks, and they are constructive partners rather than blockers—helping the business understand and manage risk rather than simply saying no.</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IT Auditor / Risk Analyst → Technology Risk Manager → Senior Risk Manager → Head of Technology Risk → Chief Risk Officer (CRO) or VP of Risk. Financial services firms, where technology risk is most formalized, offer particularly well-defined progression paths.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$100,000–$135,000 (manager), $140,000–$185,000 (senior/director), $190,000–$320,000+ (head/CRO with bonuses in financial services). Annual salary growth of 7–11% is projected, driven by increasing regulatory requirements and AI risk governance demands.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ISACA Risk and Governance Salary Survey (2024)</w:t>
      </w:r>
    </w:p>
    <w:p>
      <w:pPr>
        <w:pStyle w:val="ListParagraph"/>
        <w:numPr>
          <w:ilvl w:val="0"/>
          <w:numId w:val="2"/>
        </w:numPr>
        <w:spacing w:after="100"/>
      </w:pPr>
      <w:r>
        <w:rPr>
          <w:rFonts w:ascii="Arial" w:cs="Arial" w:eastAsia="Arial" w:hAnsi="Arial"/>
          <w:color w:val="444444"/>
          <w:sz w:val="22"/>
          <w:szCs w:val="22"/>
        </w:rPr>
        <w:t xml:space="preserve">Gartner IT Risk Management Market Guide (2024)</w:t>
      </w:r>
    </w:p>
    <w:p>
      <w:pPr>
        <w:pStyle w:val="ListParagraph"/>
        <w:numPr>
          <w:ilvl w:val="0"/>
          <w:numId w:val="2"/>
        </w:numPr>
        <w:spacing w:after="100"/>
      </w:pPr>
      <w:r>
        <w:rPr>
          <w:rFonts w:ascii="Arial" w:cs="Arial" w:eastAsia="Arial" w:hAnsi="Arial"/>
          <w:color w:val="444444"/>
          <w:sz w:val="22"/>
          <w:szCs w:val="22"/>
        </w:rPr>
        <w:t xml:space="preserve">EU DORA Regulation Impact Assessment (2024)</w:t>
      </w:r>
    </w:p>
    <w:p>
      <w:pPr>
        <w:pStyle w:val="ListParagraph"/>
        <w:numPr>
          <w:ilvl w:val="0"/>
          <w:numId w:val="2"/>
        </w:numPr>
        <w:spacing w:after="100"/>
      </w:pPr>
      <w:r>
        <w:rPr>
          <w:rFonts w:ascii="Arial" w:cs="Arial" w:eastAsia="Arial" w:hAnsi="Arial"/>
          <w:color w:val="444444"/>
          <w:sz w:val="22"/>
          <w:szCs w:val="22"/>
        </w:rPr>
        <w:t xml:space="preserve">FAIR Institute Annual Cyber Risk Survey (2024)</w:t>
      </w:r>
    </w:p>
    <w:p>
      <w:pPr>
        <w:pStyle w:val="ListParagraph"/>
        <w:numPr>
          <w:ilvl w:val="0"/>
          <w:numId w:val="2"/>
        </w:numPr>
        <w:spacing w:after="100"/>
      </w:pPr>
      <w:r>
        <w:rPr>
          <w:rFonts w:ascii="Arial" w:cs="Arial" w:eastAsia="Arial" w:hAnsi="Arial"/>
          <w:color w:val="444444"/>
          <w:sz w:val="22"/>
          <w:szCs w:val="22"/>
        </w:rPr>
        <w:t xml:space="preserve">Glassdoor – Technology Risk Manager Salaries (2024)</w:t>
      </w:r>
    </w:p>
    <w:p>
      <w:pPr>
        <w:pStyle w:val="ListParagraph"/>
        <w:numPr>
          <w:ilvl w:val="0"/>
          <w:numId w:val="2"/>
        </w:numPr>
        <w:spacing w:after="100"/>
      </w:pPr>
      <w:r>
        <w:rPr>
          <w:rFonts w:ascii="Arial" w:cs="Arial" w:eastAsia="Arial" w:hAnsi="Arial"/>
          <w:color w:val="444444"/>
          <w:sz w:val="22"/>
          <w:szCs w:val="22"/>
        </w:rPr>
        <w:t xml:space="preserve">Deloitte Technology Risk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2026-02-26T21:29:06.102Z</dcterms:created>
  <dcterms:modified xsi:type="dcterms:W3CDTF">2026-02-26T21:29:06.102Z</dcterms:modified>
</cp:coreProperties>
</file>

<file path=docProps/custom.xml><?xml version="1.0" encoding="utf-8"?>
<Properties xmlns="http://schemas.openxmlformats.org/officeDocument/2006/custom-properties" xmlns:vt="http://schemas.openxmlformats.org/officeDocument/2006/docPropsVTypes"/>
</file>