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IT Business Analyst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Analysis &amp; Consulting</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IT Business Analysts bridge the gap between business stakeholders and technology teams, translating business needs into clear technical requirements that enable effective software development and digital transformation. The role is foundational to every large-scale technology program and enterprise system implementation. As AI and automation change how IT solutions are built and deployed, business analysts who understand both the evolving technical landscape and the human dimensions of change will remain indispensable.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eliciting and documenting business and functional requirements (user stories, use cases, process flows), facilitating workshops and interviews with stakeholders, creating and managing product backlogs, performing gap analyses between current and future state processes, mapping data requirements for system integrations, participating in user acceptance testing (UAT), managing scope change processes, and creating business cases for technology investments. Senior BAs also perform process redesign, develop feasibility analyses, and advise on technology selection.</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Requirements elicitation and documentation, process modeling (BPMN, UML), stakeholder management, facilitation, analytical thinking, and proficiency in collaboration tools (Confluence, Jira, Miro) are foundational. Familiarity with agile development methodologies (SAFe, Scrum, Kanban) and increasing comfort with data analysis tools (SQL, Tableau, Power BI) distinguishes senior practitioners. Certifications such as CBAP (Certified Business Analysis Professional) or PMI-PBA are recognized credentials. Soft skills: active listening, diplomatic communication, and the ability to resolve conflicting stakeholder requirements.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Excellent Business Analysts are curious about how things work—how business processes create value, how data flows through systems, how technology can improve operational efficiency. They are patient, thorough documentarians who ensure nothing falls through the cracks between business intent and technical implementation. They are naturally diplomatic, able to facilitate agreement between stakeholders with competing priorities without losing the thread of the project goal.</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BA → Business Analyst → Senior BA → Lead BA / BA Manager → Product Owner or Product Manager → Director of Business Analysis or Head of Digital Programs.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$70,000–$95,000 (junior-mid), $100,000–$135,000 (senior), $140,000–$185,000 (lead/director). Annual salary growth of 5–8% is projected, consistent with sustained enterprise technology program demand.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IIBA Global Business Analysis Salary Survey (2024)</w:t>
      </w:r>
    </w:p>
    <w:p>
      <w:pPr>
        <w:pStyle w:val="ListParagraph"/>
        <w:numPr>
          <w:ilvl w:val="0"/>
          <w:numId w:val="2"/>
        </w:numPr>
        <w:spacing w:after="100"/>
      </w:pPr>
      <w:r>
        <w:rPr>
          <w:rFonts w:ascii="Arial" w:cs="Arial" w:eastAsia="Arial" w:hAnsi="Arial"/>
          <w:color w:val="444444"/>
          <w:sz w:val="22"/>
          <w:szCs w:val="22"/>
        </w:rPr>
        <w:t xml:space="preserve">Glassdoor – IT Business Analyst Salaries (2024)</w:t>
      </w:r>
    </w:p>
    <w:p>
      <w:pPr>
        <w:pStyle w:val="ListParagraph"/>
        <w:numPr>
          <w:ilvl w:val="0"/>
          <w:numId w:val="2"/>
        </w:numPr>
        <w:spacing w:after="100"/>
      </w:pPr>
      <w:r>
        <w:rPr>
          <w:rFonts w:ascii="Arial" w:cs="Arial" w:eastAsia="Arial" w:hAnsi="Arial"/>
          <w:color w:val="444444"/>
          <w:sz w:val="22"/>
          <w:szCs w:val="22"/>
        </w:rPr>
        <w:t xml:space="preserve">LinkedIn Business Analysis Job Trends (2024)</w:t>
      </w:r>
    </w:p>
    <w:p>
      <w:pPr>
        <w:pStyle w:val="ListParagraph"/>
        <w:numPr>
          <w:ilvl w:val="0"/>
          <w:numId w:val="2"/>
        </w:numPr>
        <w:spacing w:after="100"/>
      </w:pPr>
      <w:r>
        <w:rPr>
          <w:rFonts w:ascii="Arial" w:cs="Arial" w:eastAsia="Arial" w:hAnsi="Arial"/>
          <w:color w:val="444444"/>
          <w:sz w:val="22"/>
          <w:szCs w:val="22"/>
        </w:rPr>
        <w:t xml:space="preserve">PMI Pulse of the Profession (2024)</w:t>
      </w:r>
    </w:p>
    <w:p>
      <w:pPr>
        <w:pStyle w:val="ListParagraph"/>
        <w:numPr>
          <w:ilvl w:val="0"/>
          <w:numId w:val="2"/>
        </w:numPr>
        <w:spacing w:after="100"/>
      </w:pPr>
      <w:r>
        <w:rPr>
          <w:rFonts w:ascii="Arial" w:cs="Arial" w:eastAsia="Arial" w:hAnsi="Arial"/>
          <w:color w:val="444444"/>
          <w:sz w:val="22"/>
          <w:szCs w:val="22"/>
        </w:rPr>
        <w:t xml:space="preserve">CompTIA IT Industry Outlook (2024)</w:t>
      </w:r>
    </w:p>
    <w:p>
      <w:pPr>
        <w:pStyle w:val="ListParagraph"/>
        <w:numPr>
          <w:ilvl w:val="0"/>
          <w:numId w:val="2"/>
        </w:numPr>
        <w:spacing w:after="100"/>
      </w:pPr>
      <w:r>
        <w:rPr>
          <w:rFonts w:ascii="Arial" w:cs="Arial" w:eastAsia="Arial" w:hAnsi="Arial"/>
          <w:color w:val="444444"/>
          <w:sz w:val="22"/>
          <w:szCs w:val="22"/>
        </w:rPr>
        <w:t xml:space="preserve">Gartner Digital Business Analysis Trends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2026-02-26T21:29:06.110Z</dcterms:created>
  <dcterms:modified xsi:type="dcterms:W3CDTF">2026-02-26T21:29:06.110Z</dcterms:modified>
</cp:coreProperties>
</file>

<file path=docProps/custom.xml><?xml version="1.0" encoding="utf-8"?>
<Properties xmlns="http://schemas.openxmlformats.org/officeDocument/2006/custom-properties" xmlns:vt="http://schemas.openxmlformats.org/officeDocument/2006/docPropsVTypes"/>
</file>