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Chief AI Officer (CAIO)</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Leadership</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The Chief AI Officer is an emerging C-suite role responsible for developing and executing an organization's AI strategy, governing AI use responsibly, building AI capabilities, and driving enterprise-wide AI adoption. As generative AI transforms how every function operates—from marketing and supply chain to finance and HR—organizations need a dedicated executive to coordinate AI initiatives, avoid duplication, manage AI-related risks, and ensure the company captures AI's competitive potential. The U.S. government mandated CAIO roles across federal agencies in 2024, accelerating adoption across both public and private sectors.</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The CAIO develops the organization's AI vision and multi-year roadmap, builds the AI center of excellence and talent strategy, establishes AI governance frameworks (use-case review, ethics review, risk controls), oversees AI budget allocation, communicates AI strategy to the board and external stakeholders, manages relationships with AI platform vendors (OpenAI, Anthropic, Google, Microsoft), and measures enterprise AI ROI. The role also involves workforce transformation—building AI literacy across the organization and managing the change associated with AI-driven automation.</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Deep understanding of AI/ML capabilities and limitations, strong business strategy acumen, executive leadership, communication and influencing skills, and knowledge of AI governance and ethics frameworks are the defining competencies. A technical background in AI/ML or data science combined with P&amp;L management experience is the ideal profile. Change management expertise and the ability to inspire AI confidence in skeptical organizations are critical soft skills. Emerging certifications and executive education programs in AI strategy (MIT, INSEAD, Kellogg) are increasingly common credentials.</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Effective CAIOs are visionaries who can see the transformative potential of AI across the business while being pragmatic enough to sequence adoption in ways that actually succeed. They inspire both excitement and confidence—they know enough about AI to be credible when something works but also when it doesn't. They are collaborative executives who work across all business functions and balance the urgency to move fast with the responsibility to govern AI responsibly.</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This role is typically reached from Head of AI, VP of AI, CDO, CTO, or occasionally CISO backgrounds. Many first-time CAIOs are internal candidates who have led significant AI programs. The role may evolve over the decade as AI becomes embedded infrastructure rather than a distinct initiative.</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$200,000–$280,000 (director/VP-equivalent at mid-market companies), $300,000–$600,000+ (CAIO at large enterprises with total compensation including bonuses and equity). Annual salary growth of 15–20% is projected near-term, making this among the fastest-appreciating executive roles through 2027.</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White House AI Executive Order (2023) – Federal CAIO Mandate</w:t>
      </w:r>
    </w:p>
    <w:p>
      <w:pPr>
        <w:pStyle w:val="ListParagraph"/>
        <w:numPr>
          <w:ilvl w:val="0"/>
          <w:numId w:val="2"/>
        </w:numPr>
        <w:spacing w:after="100"/>
      </w:pPr>
      <w:r>
        <w:rPr>
          <w:rFonts w:ascii="Arial" w:cs="Arial" w:eastAsia="Arial" w:hAnsi="Arial"/>
          <w:color w:val="444444"/>
          <w:sz w:val="22"/>
          <w:szCs w:val="22"/>
        </w:rPr>
        <w:t xml:space="preserve">Gartner – Chief AI Officer Role Survey (2024)</w:t>
      </w:r>
    </w:p>
    <w:p>
      <w:pPr>
        <w:pStyle w:val="ListParagraph"/>
        <w:numPr>
          <w:ilvl w:val="0"/>
          <w:numId w:val="2"/>
        </w:numPr>
        <w:spacing w:after="100"/>
      </w:pPr>
      <w:r>
        <w:rPr>
          <w:rFonts w:ascii="Arial" w:cs="Arial" w:eastAsia="Arial" w:hAnsi="Arial"/>
          <w:color w:val="444444"/>
          <w:sz w:val="22"/>
          <w:szCs w:val="22"/>
        </w:rPr>
        <w:t xml:space="preserve">MIT SMR – Building an AI Governance Organization (2024)</w:t>
      </w:r>
    </w:p>
    <w:p>
      <w:pPr>
        <w:pStyle w:val="ListParagraph"/>
        <w:numPr>
          <w:ilvl w:val="0"/>
          <w:numId w:val="2"/>
        </w:numPr>
        <w:spacing w:after="100"/>
      </w:pPr>
      <w:r>
        <w:rPr>
          <w:rFonts w:ascii="Arial" w:cs="Arial" w:eastAsia="Arial" w:hAnsi="Arial"/>
          <w:color w:val="444444"/>
          <w:sz w:val="22"/>
          <w:szCs w:val="22"/>
        </w:rPr>
        <w:t xml:space="preserve">LinkedIn CAIO Job Trends (2024)</w:t>
      </w:r>
    </w:p>
    <w:p>
      <w:pPr>
        <w:pStyle w:val="ListParagraph"/>
        <w:numPr>
          <w:ilvl w:val="0"/>
          <w:numId w:val="2"/>
        </w:numPr>
        <w:spacing w:after="100"/>
      </w:pPr>
      <w:r>
        <w:rPr>
          <w:rFonts w:ascii="Arial" w:cs="Arial" w:eastAsia="Arial" w:hAnsi="Arial"/>
          <w:color w:val="444444"/>
          <w:sz w:val="22"/>
          <w:szCs w:val="22"/>
        </w:rPr>
        <w:t xml:space="preserve">Heidrick &amp; Struggles AI Executive Compensation Survey (2024)</w:t>
      </w:r>
    </w:p>
    <w:p>
      <w:pPr>
        <w:pStyle w:val="ListParagraph"/>
        <w:numPr>
          <w:ilvl w:val="0"/>
          <w:numId w:val="2"/>
        </w:numPr>
        <w:spacing w:after="100"/>
      </w:pPr>
      <w:r>
        <w:rPr>
          <w:rFonts w:ascii="Arial" w:cs="Arial" w:eastAsia="Arial" w:hAnsi="Arial"/>
          <w:color w:val="444444"/>
          <w:sz w:val="22"/>
          <w:szCs w:val="22"/>
        </w:rPr>
        <w:t xml:space="preserve">McKinsey – The Economic Potential of Generative AI (2023)</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2026-02-26T21:29:06.121Z</dcterms:created>
  <dcterms:modified xsi:type="dcterms:W3CDTF">2026-02-26T21:29:06.121Z</dcterms:modified>
</cp:coreProperties>
</file>

<file path=docProps/custom.xml><?xml version="1.0" encoding="utf-8"?>
<Properties xmlns="http://schemas.openxmlformats.org/officeDocument/2006/custom-properties" xmlns:vt="http://schemas.openxmlformats.org/officeDocument/2006/docPropsVTypes"/>
</file>