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API Architect</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API Architects design the interfaces through which software systems communicate—defining the standards, patterns, governance, and lifecycle processes for APIs across an organization or product ecosystem. In an API-first world where organizations monetize data and services through developer ecosystems and where internal microservices communicate primarily via APIs, the quality, consistency, and reliability of APIs directly impacts developer productivity, partner integrations, and business outcomes. The role has gained formal recognition as companies mature their API programs.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designing RESTful, GraphQL, gRPC, and event-driven (AsyncAPI) interfaces following OpenAPI standards, establishing API design guidelines and review processes, managing API versioning and deprecation strategies, designing API security architectures (OAuth 2.0, API gateways, rate limiting), leading API platform selection and governance (Kong, Apigee, AWS API Gateway), mentoring teams on API design patterns, and supporting the monetization of APIs as products. API Architects increasingly work on AI API design—defining how LLM capabilities are exposed as APIs to internal and external consumers.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knowledge of API design patterns, OpenAPI/Swagger, authentication protocols (OAuth 2.0, OIDC), API gateway technologies, and service mesh architecture is foundational. Experience with API management platforms, microservices architecture, and developer experience design is expected at senior levels. Soft skills: the ability to write clear, opinionated design guidelines and to socialize them effectively across engineering teams with varying levels of API design maturity.</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API Architects have strong opinions about design—they are unsatisfied by inconsistent or poorly designed APIs and are motivated to establish coherent design systems across large, distributed engineering organizations. They are excellent technical communicators who can write guidelines that engineers actually read and follow. They balance the ideal design with pragmatic delivery constraints and understand that an API, once published, is a contract that must be honored.</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Backend Engineer → Senior Engineer → API Architect → Principal/Distinguished Architect → Head of API Platform → VP of Engineering (Platform). Many transition into Solutions Architecture or Developer Advocacy roles.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$120,000–$155,000 (architect), $160,000–$210,000 (senior/principal), $215,000–$300,000+ (head/distinguished at API-platform companies). Annual salary growth of 7–10% is projected, consistent with the expansion of the API economy.</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Postman State of the API Report (2024)</w:t>
      </w:r>
    </w:p>
    <w:p>
      <w:pPr>
        <w:pStyle w:val="ListParagraph"/>
        <w:numPr>
          <w:ilvl w:val="0"/>
          <w:numId w:val="2"/>
        </w:numPr>
        <w:spacing w:after="100"/>
      </w:pPr>
      <w:r>
        <w:rPr>
          <w:rFonts w:ascii="Arial" w:cs="Arial" w:eastAsia="Arial" w:hAnsi="Arial"/>
          <w:color w:val="444444"/>
          <w:sz w:val="22"/>
          <w:szCs w:val="22"/>
        </w:rPr>
        <w:t xml:space="preserve">Gartner API Management Market Guide (2024)</w:t>
      </w:r>
    </w:p>
    <w:p>
      <w:pPr>
        <w:pStyle w:val="ListParagraph"/>
        <w:numPr>
          <w:ilvl w:val="0"/>
          <w:numId w:val="2"/>
        </w:numPr>
        <w:spacing w:after="100"/>
      </w:pPr>
      <w:r>
        <w:rPr>
          <w:rFonts w:ascii="Arial" w:cs="Arial" w:eastAsia="Arial" w:hAnsi="Arial"/>
          <w:color w:val="444444"/>
          <w:sz w:val="22"/>
          <w:szCs w:val="22"/>
        </w:rPr>
        <w:t xml:space="preserve">Glassdoor – API Architect Salary Data (2024)</w:t>
      </w:r>
    </w:p>
    <w:p>
      <w:pPr>
        <w:pStyle w:val="ListParagraph"/>
        <w:numPr>
          <w:ilvl w:val="0"/>
          <w:numId w:val="2"/>
        </w:numPr>
        <w:spacing w:after="100"/>
      </w:pPr>
      <w:r>
        <w:rPr>
          <w:rFonts w:ascii="Arial" w:cs="Arial" w:eastAsia="Arial" w:hAnsi="Arial"/>
          <w:color w:val="444444"/>
          <w:sz w:val="22"/>
          <w:szCs w:val="22"/>
        </w:rPr>
        <w:t xml:space="preserve">SmartBear State of API Development Report (2024)</w:t>
      </w:r>
    </w:p>
    <w:p>
      <w:pPr>
        <w:pStyle w:val="ListParagraph"/>
        <w:numPr>
          <w:ilvl w:val="0"/>
          <w:numId w:val="2"/>
        </w:numPr>
        <w:spacing w:after="100"/>
      </w:pPr>
      <w:r>
        <w:rPr>
          <w:rFonts w:ascii="Arial" w:cs="Arial" w:eastAsia="Arial" w:hAnsi="Arial"/>
          <w:color w:val="444444"/>
          <w:sz w:val="22"/>
          <w:szCs w:val="22"/>
        </w:rPr>
        <w:t xml:space="preserve">Nordic APIs Landscape Report (2024)</w:t>
      </w:r>
    </w:p>
    <w:p>
      <w:pPr>
        <w:pStyle w:val="ListParagraph"/>
        <w:numPr>
          <w:ilvl w:val="0"/>
          <w:numId w:val="2"/>
        </w:numPr>
        <w:spacing w:after="100"/>
      </w:pPr>
      <w:r>
        <w:rPr>
          <w:rFonts w:ascii="Arial" w:cs="Arial" w:eastAsia="Arial" w:hAnsi="Arial"/>
          <w:color w:val="444444"/>
          <w:sz w:val="22"/>
          <w:szCs w:val="22"/>
        </w:rPr>
        <w:t xml:space="preserve">RapidAPI API Economy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2026-02-26T21:29:06.135Z</dcterms:created>
  <dcterms:modified xsi:type="dcterms:W3CDTF">2026-02-26T21:29:06.135Z</dcterms:modified>
</cp:coreProperties>
</file>

<file path=docProps/custom.xml><?xml version="1.0" encoding="utf-8"?>
<Properties xmlns="http://schemas.openxmlformats.org/officeDocument/2006/custom-properties" xmlns:vt="http://schemas.openxmlformats.org/officeDocument/2006/docPropsVTypes"/>
</file>