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Technology Consultant</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Consulting</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Technology Consultants advise organizations on how to use technology to achieve business objectives, solve operational problems, or navigate technology transitions. Working either in consulting firms (Accenture, Deloitte, McKinsey, Big 4) or as independent advisors, technology consultants bring an outside perspective and broad cross-industry experience that internal teams often lack. The accelerating pace of AI adoption, cloud migration, and digital transformation has created significant demand for advisors who can help organizations navigate complexity effectively.</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activities include conducting technology assessments and maturity evaluations, developing digital and AI strategies, leading technology vendor selection processes, designing operating model transformations, managing large-scale technology program delivery (often alongside major system integrations), building business cases for technology investment, training client teams, and transferring knowledge. Senior consultants develop thought leadership, contribute to practice development, and manage client relationships. Consulting life involves significant travel, varied industry exposure, and project-based intense cycles.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A combination of technical expertise (depth in one or more domains—cloud, AI, cybersecurity, ERP, data engineering), business strategy skills, analytical rigor, structured communication (PowerPoint, executive briefing), and project management capability is the consulting toolkit. Soft skills—client relationship management, the ability to manage ambiguity in new client environments, team leadership, and the gravitas to challenge senior client executives constructively—define progression in consulting.</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Successful Technology Consultants are intellectually versatile—able to rapidly understand new industries, technologies, and organizational contexts. They are energized by variety and the challenge of delivering high-quality work under tight deadlines. They are naturally curious, asking questions that clients have not thought to ask, and are comfortable delivering recommendations that challenge the client's existing thinking.</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Analyst → Consultant → Senior Consultant → Manager → Senior Manager → Director → Principal/Partner. Consulting firm timelines are typically 2–3 years per level. Many technology consultants exit to industry roles (strategy, head of transformation, CDO) after 5–10 years.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(including performance bonus): $80,000–$110,000 (analyst/consultant), $120,000–$165,000 (senior consultant/manager), $170,000–$280,000 (director), $300,000–$600,000+ (partner). Annual salary growth of 7–10% is projected, with AI strategy consulting commands at a significant premium.</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Glassdoor – Technology Consultant Salaries (2024)</w:t>
      </w:r>
    </w:p>
    <w:p>
      <w:pPr>
        <w:pStyle w:val="ListParagraph"/>
        <w:numPr>
          <w:ilvl w:val="0"/>
          <w:numId w:val="2"/>
        </w:numPr>
        <w:spacing w:after="100"/>
      </w:pPr>
      <w:r>
        <w:rPr>
          <w:rFonts w:ascii="Arial" w:cs="Arial" w:eastAsia="Arial" w:hAnsi="Arial"/>
          <w:color w:val="444444"/>
          <w:sz w:val="22"/>
          <w:szCs w:val="22"/>
        </w:rPr>
        <w:t xml:space="preserve">ManagedConsultants Global Compensation Report (2024)</w:t>
      </w:r>
    </w:p>
    <w:p>
      <w:pPr>
        <w:pStyle w:val="ListParagraph"/>
        <w:numPr>
          <w:ilvl w:val="0"/>
          <w:numId w:val="2"/>
        </w:numPr>
        <w:spacing w:after="100"/>
      </w:pPr>
      <w:r>
        <w:rPr>
          <w:rFonts w:ascii="Arial" w:cs="Arial" w:eastAsia="Arial" w:hAnsi="Arial"/>
          <w:color w:val="444444"/>
          <w:sz w:val="22"/>
          <w:szCs w:val="22"/>
        </w:rPr>
        <w:t xml:space="preserve">Deloitte Global Technology Consulting Trends (2024)</w:t>
      </w:r>
    </w:p>
    <w:p>
      <w:pPr>
        <w:pStyle w:val="ListParagraph"/>
        <w:numPr>
          <w:ilvl w:val="0"/>
          <w:numId w:val="2"/>
        </w:numPr>
        <w:spacing w:after="100"/>
      </w:pPr>
      <w:r>
        <w:rPr>
          <w:rFonts w:ascii="Arial" w:cs="Arial" w:eastAsia="Arial" w:hAnsi="Arial"/>
          <w:color w:val="444444"/>
          <w:sz w:val="22"/>
          <w:szCs w:val="22"/>
        </w:rPr>
        <w:t xml:space="preserve">McKinsey – Technology Transformation Workforce (2024)</w:t>
      </w:r>
    </w:p>
    <w:p>
      <w:pPr>
        <w:pStyle w:val="ListParagraph"/>
        <w:numPr>
          <w:ilvl w:val="0"/>
          <w:numId w:val="2"/>
        </w:numPr>
        <w:spacing w:after="100"/>
      </w:pPr>
      <w:r>
        <w:rPr>
          <w:rFonts w:ascii="Arial" w:cs="Arial" w:eastAsia="Arial" w:hAnsi="Arial"/>
          <w:color w:val="444444"/>
          <w:sz w:val="22"/>
          <w:szCs w:val="22"/>
        </w:rPr>
        <w:t xml:space="preserve">LinkedIn Consulting Job Market Report (2024)</w:t>
      </w:r>
    </w:p>
    <w:p>
      <w:pPr>
        <w:pStyle w:val="ListParagraph"/>
        <w:numPr>
          <w:ilvl w:val="0"/>
          <w:numId w:val="2"/>
        </w:numPr>
        <w:spacing w:after="100"/>
      </w:pPr>
      <w:r>
        <w:rPr>
          <w:rFonts w:ascii="Arial" w:cs="Arial" w:eastAsia="Arial" w:hAnsi="Arial"/>
          <w:color w:val="444444"/>
          <w:sz w:val="22"/>
          <w:szCs w:val="22"/>
        </w:rPr>
        <w:t xml:space="preserve">CompTIA IT Services Industry Analysis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2026-02-26T21:29:06.174Z</dcterms:created>
  <dcterms:modified xsi:type="dcterms:W3CDTF">2026-02-26T21:29:06.174Z</dcterms:modified>
</cp:coreProperties>
</file>

<file path=docProps/custom.xml><?xml version="1.0" encoding="utf-8"?>
<Properties xmlns="http://schemas.openxmlformats.org/officeDocument/2006/custom-properties" xmlns:vt="http://schemas.openxmlformats.org/officeDocument/2006/docPropsVTypes"/>
</file>