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Embedded Systems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Embedded Systems Engineers develop the software that runs directly on specialized hardware—microcontrollers, FPGAs, ASICs, and purpose-built processors—in devices such as consumer electronics, medical devices, industrial controllers, automotive ECUs, aerospace systems, and IoT sensors. As billions of new edge devices are deployed and as AI inference increasingly happens on-device, embedded systems expertise becomes more critical than ever. The specialization is perennially undersupplied relative to demand.</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Core responsibilities include writing firmware in C/C++ (and increasingly Rust) for bare-metal or RTOS environments (FreeRTOS, Zephyr, ThreadX), developing device drivers, managing hardware interfaces (SPI, I2C, UART, CAN, Ethernet), optimizing code for resource-constrained processors (limited RAM, flash, and CPU cycles), integrating sensors and actuators, writing bootloaders and OTA update systems, debugging with oscilloscopes and logic analyzers, and meeting real-time and safety requirements. A growing area is deploying tinyML models on microcontrollers using frameworks like TensorFlow Lite for Microcontrollers and Edge Impulse.</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Deep C/C++ proficiency, hardware architecture knowledge (ARM Cortex-M, RISC-V, x86 for embedded), real-time operating systems (RTOS), peripheral interfaces, and debugging with hardware tools (JTAG, oscilloscope, logic analyzer) are foundational. Knowledge of functional safety standards (IEC 61508, ISO 26262, DO-178C) is essential for safety-critical domains. Rust for embedded is a growing and valued skill. Soft skills: meticulous attention to detail—firmware bugs in deployed hardware cannot be patched as easily as web software bugs.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Embedded Engineers are often deeply interested in the physical interaction of software with hardware—they find the mapping between code instructions and physical voltage changes intrinsically fascinating. They are methodical debuggers with patience for root-cause analysis in environments where traditional debugging tools don't work. They have high standards for code reliability and are uncomfortable shipping anything that is not exhaustively tested.</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Embedded Engineer → Senior Embedded Engineer → Principal Embedded Engineer or Embedded Architect → Head of Firmware → VP of Engineering (Hardware Products). Specializations in automotive, medical, aerospace, or consumer electronics create distinct company ecosystems.</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$95,000–$125,000 (mid-level), $130,000–$175,000 (senior), $180,000–$260,000 (principal/architect). Annual salary growth of 7–10% is projected, driven by IoT, automotive, and edge AI investment.</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Embedded.com Salary Survey (2024)</w:t>
      </w:r>
    </w:p>
    <w:p>
      <w:pPr>
        <w:pStyle w:val="ListParagraph"/>
        <w:numPr>
          <w:ilvl w:val="0"/>
          <w:numId w:val="2"/>
        </w:numPr>
        <w:spacing w:after="100"/>
      </w:pPr>
      <w:r>
        <w:rPr>
          <w:rFonts w:ascii="Arial" w:cs="Arial" w:eastAsia="Arial" w:hAnsi="Arial"/>
          <w:color w:val="444444"/>
          <w:sz w:val="22"/>
          <w:szCs w:val="22"/>
        </w:rPr>
        <w:t xml:space="preserve">EE Times Embedded Systems Engineer Survey (2024)</w:t>
      </w:r>
    </w:p>
    <w:p>
      <w:pPr>
        <w:pStyle w:val="ListParagraph"/>
        <w:numPr>
          <w:ilvl w:val="0"/>
          <w:numId w:val="2"/>
        </w:numPr>
        <w:spacing w:after="100"/>
      </w:pPr>
      <w:r>
        <w:rPr>
          <w:rFonts w:ascii="Arial" w:cs="Arial" w:eastAsia="Arial" w:hAnsi="Arial"/>
          <w:color w:val="444444"/>
          <w:sz w:val="22"/>
          <w:szCs w:val="22"/>
        </w:rPr>
        <w:t xml:space="preserve">Glassdoor – Embedded Engineer Salary Data (2024)</w:t>
      </w:r>
    </w:p>
    <w:p>
      <w:pPr>
        <w:pStyle w:val="ListParagraph"/>
        <w:numPr>
          <w:ilvl w:val="0"/>
          <w:numId w:val="2"/>
        </w:numPr>
        <w:spacing w:after="100"/>
      </w:pPr>
      <w:r>
        <w:rPr>
          <w:rFonts w:ascii="Arial" w:cs="Arial" w:eastAsia="Arial" w:hAnsi="Arial"/>
          <w:color w:val="444444"/>
          <w:sz w:val="22"/>
          <w:szCs w:val="22"/>
        </w:rPr>
        <w:t xml:space="preserve">IDC Embedded Systems Market Forecast (2024)</w:t>
      </w:r>
    </w:p>
    <w:p>
      <w:pPr>
        <w:pStyle w:val="ListParagraph"/>
        <w:numPr>
          <w:ilvl w:val="0"/>
          <w:numId w:val="2"/>
        </w:numPr>
        <w:spacing w:after="100"/>
      </w:pPr>
      <w:r>
        <w:rPr>
          <w:rFonts w:ascii="Arial" w:cs="Arial" w:eastAsia="Arial" w:hAnsi="Arial"/>
          <w:color w:val="444444"/>
          <w:sz w:val="22"/>
          <w:szCs w:val="22"/>
        </w:rPr>
        <w:t xml:space="preserve">MISRA Embedded Safety Standards Report (2024)</w:t>
      </w:r>
    </w:p>
    <w:p>
      <w:pPr>
        <w:pStyle w:val="ListParagraph"/>
        <w:numPr>
          <w:ilvl w:val="0"/>
          <w:numId w:val="2"/>
        </w:numPr>
        <w:spacing w:after="100"/>
      </w:pPr>
      <w:r>
        <w:rPr>
          <w:rFonts w:ascii="Arial" w:cs="Arial" w:eastAsia="Arial" w:hAnsi="Arial"/>
          <w:color w:val="444444"/>
          <w:sz w:val="22"/>
          <w:szCs w:val="22"/>
        </w:rPr>
        <w:t xml:space="preserve">Edge Impulse tinyML Market Report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2026-02-26T21:29:06.193Z</dcterms:created>
  <dcterms:modified xsi:type="dcterms:W3CDTF">2026-02-26T21:29:06.193Z</dcterms:modified>
</cp:coreProperties>
</file>

<file path=docProps/custom.xml><?xml version="1.0" encoding="utf-8"?>
<Properties xmlns="http://schemas.openxmlformats.org/officeDocument/2006/custom-properties" xmlns:vt="http://schemas.openxmlformats.org/officeDocument/2006/docPropsVTypes"/>
</file>