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Chief Technology Officer (CTO)</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Leadership</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The Chief Technology Officer is the executive responsible for the company's technological direction—determining the technology strategy, leading engineering and product development, managing the R&amp;D agenda, and ensuring that technology capabilities give the company a competitive advantage. At technology-centric companies, the CTO is often the most influential executive after the CEO. As AI fundamentally reshapes what is technically possible and as technology differentiation becomes the primary axis of competition across industries, the CTO role has never carried greater strategic weight.</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Responsibilities include setting the technology vision and multi-year strategy, leading engineering and product organizations (at some companies the CPO reports to the CTO), overseeing architecture decisions, managing the technology budget, driving the company's AI and innovation agenda, recruiting and developing technical leadership, managing technology vendor relationships, communicating the technology story to investors, customers, and the board, and ensuring technology systems meet reliability, security, and scalability requirements. CTOs also represent the company externally—speaking at conferences, contributing to policy discussions, and building the company's technical reputation.</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Deep technical credibility (typically 15–20+ years of software engineering and technical leadership experience), business strategy skills, executive communication, financial management, team building, and the ability to hire and inspire world-class engineers are the defining competencies. Broad technology literacy across AI, cloud, security, and data is expected. Soft skills—vision setting, organizational change leadership, and the executive presence to inspire engineering organizations toward ambitious goals—define excellence at this level.</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Exceptional CTOs combine technical depth with organizational leadership and business acumen. They are talent magnets—engineers want to work for them because they set ambitious technical visions, protect engineering culture, and develop people. They are strategic thinkers who see technology not as an end but as a means to competitive advantage, and they communicate this view effectively to boards, investors, and customers.</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Software Engineer → Engineering Lead → VP/SVP Engineering → CTO. Some CTOs come from product management or architecture backgrounds. CTO tenures average 3–5 years, after which many move to board advisor, VC, or founder roles.</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$200,000–$300,000 (CTO at mid-market companies), $300,000–$700,000 (large enterprise CTO total comp), $700,000–$5M+ (CTO at major tech companies with equity). Annual salary growth of 8–12% is projected, driven by sustained technology talent competition at senior levels.</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Heidrick &amp; Struggles CTO Compensation Benchmarking (2024)</w:t>
      </w:r>
    </w:p>
    <w:p>
      <w:pPr>
        <w:pStyle w:val="ListParagraph"/>
        <w:numPr>
          <w:ilvl w:val="0"/>
          <w:numId w:val="2"/>
        </w:numPr>
        <w:spacing w:after="100"/>
      </w:pPr>
      <w:r>
        <w:rPr>
          <w:rFonts w:ascii="Arial" w:cs="Arial" w:eastAsia="Arial" w:hAnsi="Arial"/>
          <w:color w:val="444444"/>
          <w:sz w:val="22"/>
          <w:szCs w:val="22"/>
        </w:rPr>
        <w:t xml:space="preserve">O'Reilly – What CTOs Do Report (2024)</w:t>
      </w:r>
    </w:p>
    <w:p>
      <w:pPr>
        <w:pStyle w:val="ListParagraph"/>
        <w:numPr>
          <w:ilvl w:val="0"/>
          <w:numId w:val="2"/>
        </w:numPr>
        <w:spacing w:after="100"/>
      </w:pPr>
      <w:r>
        <w:rPr>
          <w:rFonts w:ascii="Arial" w:cs="Arial" w:eastAsia="Arial" w:hAnsi="Arial"/>
          <w:color w:val="444444"/>
          <w:sz w:val="22"/>
          <w:szCs w:val="22"/>
        </w:rPr>
        <w:t xml:space="preserve">Glassdoor – CTO Salary Data (2024)</w:t>
      </w:r>
    </w:p>
    <w:p>
      <w:pPr>
        <w:pStyle w:val="ListParagraph"/>
        <w:numPr>
          <w:ilvl w:val="0"/>
          <w:numId w:val="2"/>
        </w:numPr>
        <w:spacing w:after="100"/>
      </w:pPr>
      <w:r>
        <w:rPr>
          <w:rFonts w:ascii="Arial" w:cs="Arial" w:eastAsia="Arial" w:hAnsi="Arial"/>
          <w:color w:val="444444"/>
          <w:sz w:val="22"/>
          <w:szCs w:val="22"/>
        </w:rPr>
        <w:t xml:space="preserve">LinkedIn C-Suite Technology Executive Survey (2024)</w:t>
      </w:r>
    </w:p>
    <w:p>
      <w:pPr>
        <w:pStyle w:val="ListParagraph"/>
        <w:numPr>
          <w:ilvl w:val="0"/>
          <w:numId w:val="2"/>
        </w:numPr>
        <w:spacing w:after="100"/>
      </w:pPr>
      <w:r>
        <w:rPr>
          <w:rFonts w:ascii="Arial" w:cs="Arial" w:eastAsia="Arial" w:hAnsi="Arial"/>
          <w:color w:val="444444"/>
          <w:sz w:val="22"/>
          <w:szCs w:val="22"/>
        </w:rPr>
        <w:t xml:space="preserve">Korn Ferry CTO Compensation Survey (2024)</w:t>
      </w:r>
    </w:p>
    <w:p>
      <w:pPr>
        <w:pStyle w:val="ListParagraph"/>
        <w:numPr>
          <w:ilvl w:val="0"/>
          <w:numId w:val="2"/>
        </w:numPr>
        <w:spacing w:after="100"/>
      </w:pPr>
      <w:r>
        <w:rPr>
          <w:rFonts w:ascii="Arial" w:cs="Arial" w:eastAsia="Arial" w:hAnsi="Arial"/>
          <w:color w:val="444444"/>
          <w:sz w:val="22"/>
          <w:szCs w:val="22"/>
        </w:rPr>
        <w:t xml:space="preserve">Stanford GSB Engineering Leadership Survey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2026-02-26T21:29:06.224Z</dcterms:created>
  <dcterms:modified xsi:type="dcterms:W3CDTF">2026-02-26T21:29:06.224Z</dcterms:modified>
</cp:coreProperties>
</file>

<file path=docProps/custom.xml><?xml version="1.0" encoding="utf-8"?>
<Properties xmlns="http://schemas.openxmlformats.org/officeDocument/2006/custom-properties" xmlns:vt="http://schemas.openxmlformats.org/officeDocument/2006/docPropsVTypes"/>
</file>