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Quantum Cryptography / Post-Quantum Security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Post-Quantum Security Engineers develop and implement cryptographic systems that remain secure against quantum computer attacks, protecting data and communications in the post-quantum era. NIST's 2024 publication of the first post-quantum cryptography (PQC) standards (ML-KEM, ML-DSA, SLH-DSA) has triggered a major industry transition. Financial institutions, government agencies, and technology companies must migrate from RSA and ECC to quantum-resistant algorithms—a migration on the scale of the Y2K effort. Engineers who can lead this transition are in exceptional demand.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implementing and integrating NIST post-quantum algorithms (CRYSTALS-Kyber/ML-KEM, CRYSTALS-Dilithium/ML-DSA, SPHINCS+) into protocols, libraries, and products; conducting cryptographic inventories to identify quantum-vulnerable systems; designing hybrid classical-quantum cryptographic migration strategies; implementing TLS 1.3 extensions for PQC; advising on key management architecture evolution; and staying current on evolving NIST PQC standards and quantum computing progress. Organizations with long-lived sensitive data ("harvest now, decrypt later" threat) have urgent timelines for PQC adoption.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cryptography knowledge (asymmetric cryptography, elliptic curves, lattice-based mathematics, hash-based signatures), software engineering (C, Rust, Go, or Python), and familiarity with cryptographic libraries (OpenSSL, BoringSSL, liboqs) and network security protocols (TLS, SSH, IPSec) are foundational. Knowledge of NIST PQC standards, formal cryptographic verification, and hardware security modules (HSMs) is essential for specialist roles. Soft skills: the ability to communicate complex cryptographic concepts to infrastructure teams and non-technical executives.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Post-Quantum Security Engineers are deep specialists who are fascinated by the mathematics of cryptography and motivated by the existential importance of getting cryptography right. They are meticulous about correctness—cryptographic vulnerabilities are often subtle and catastrophic. They are also pragmatic engineers who can translate theoretical constructs into production implementations.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Security Engineer → Cryptography Engineer → Post-Quantum Security Engineer → Cryptography Architect → Head of Cryptography Engineering → VP of Security.</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$130,000–$170,000 (engineer), $175,000–$230,000 (senior), $240,000–$350,000+ (architect/principal at financial services and government). Annual salary growth of 13–18% is projected, driven by the urgency of the PQC migration timeline.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NIST Post-Quantum Cryptography Standards (FIPS 203, 204, 205 – 2024)</w:t>
      </w:r>
    </w:p>
    <w:p>
      <w:pPr>
        <w:pStyle w:val="ListParagraph"/>
        <w:numPr>
          <w:ilvl w:val="0"/>
          <w:numId w:val="2"/>
        </w:numPr>
        <w:spacing w:after="100"/>
      </w:pPr>
      <w:r>
        <w:rPr>
          <w:rFonts w:ascii="Arial" w:cs="Arial" w:eastAsia="Arial" w:hAnsi="Arial"/>
          <w:color w:val="444444"/>
          <w:sz w:val="22"/>
          <w:szCs w:val="22"/>
        </w:rPr>
        <w:t xml:space="preserve">NSA National Security Memorandum on Quantum-Resistant Cryptography (2022)</w:t>
      </w:r>
    </w:p>
    <w:p>
      <w:pPr>
        <w:pStyle w:val="ListParagraph"/>
        <w:numPr>
          <w:ilvl w:val="0"/>
          <w:numId w:val="2"/>
        </w:numPr>
        <w:spacing w:after="100"/>
      </w:pPr>
      <w:r>
        <w:rPr>
          <w:rFonts w:ascii="Arial" w:cs="Arial" w:eastAsia="Arial" w:hAnsi="Arial"/>
          <w:color w:val="444444"/>
          <w:sz w:val="22"/>
          <w:szCs w:val="22"/>
        </w:rPr>
        <w:t xml:space="preserve">Gartner Post-Quantum Cryptography Hype Cycle (2024)</w:t>
      </w:r>
    </w:p>
    <w:p>
      <w:pPr>
        <w:pStyle w:val="ListParagraph"/>
        <w:numPr>
          <w:ilvl w:val="0"/>
          <w:numId w:val="2"/>
        </w:numPr>
        <w:spacing w:after="100"/>
      </w:pPr>
      <w:r>
        <w:rPr>
          <w:rFonts w:ascii="Arial" w:cs="Arial" w:eastAsia="Arial" w:hAnsi="Arial"/>
          <w:color w:val="444444"/>
          <w:sz w:val="22"/>
          <w:szCs w:val="22"/>
        </w:rPr>
        <w:t xml:space="preserve">IBM Quantum Safe Migration Guide (2024)</w:t>
      </w:r>
    </w:p>
    <w:p>
      <w:pPr>
        <w:pStyle w:val="ListParagraph"/>
        <w:numPr>
          <w:ilvl w:val="0"/>
          <w:numId w:val="2"/>
        </w:numPr>
        <w:spacing w:after="100"/>
      </w:pPr>
      <w:r>
        <w:rPr>
          <w:rFonts w:ascii="Arial" w:cs="Arial" w:eastAsia="Arial" w:hAnsi="Arial"/>
          <w:color w:val="444444"/>
          <w:sz w:val="22"/>
          <w:szCs w:val="22"/>
        </w:rPr>
        <w:t xml:space="preserve">Glassdoor – Cryptography Engineer Salaries (2024)</w:t>
      </w:r>
    </w:p>
    <w:p>
      <w:pPr>
        <w:pStyle w:val="ListParagraph"/>
        <w:numPr>
          <w:ilvl w:val="0"/>
          <w:numId w:val="2"/>
        </w:numPr>
        <w:spacing w:after="100"/>
      </w:pPr>
      <w:r>
        <w:rPr>
          <w:rFonts w:ascii="Arial" w:cs="Arial" w:eastAsia="Arial" w:hAnsi="Arial"/>
          <w:color w:val="444444"/>
          <w:sz w:val="22"/>
          <w:szCs w:val="22"/>
        </w:rPr>
        <w:t xml:space="preserve">ETSI Quantum Safe Cryptography Working Group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2026-02-26T21:29:06.270Z</dcterms:created>
  <dcterms:modified xsi:type="dcterms:W3CDTF">2026-02-26T21:29:06.270Z</dcterms:modified>
</cp:coreProperties>
</file>

<file path=docProps/custom.xml><?xml version="1.0" encoding="utf-8"?>
<Properties xmlns="http://schemas.openxmlformats.org/officeDocument/2006/custom-properties" xmlns:vt="http://schemas.openxmlformats.org/officeDocument/2006/docPropsVTypes"/>
</file>