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AI Infrastructure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AI Infrastructure Engineers build and operate the large-scale computing infrastructure required to train and deploy AI models—from multi-GPU training clusters to high-throughput inference serving platforms. The exponential growth in AI model size and the proliferation of AI applications across enterprises has created an entirely new infrastructure specialty. Engineers who can design, manage, and optimize AI compute at scale are among the most valuable and scarcest professionals in the technology industry today, commanding compensation at the frontier of the engineering profession.</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designing GPU/TPU training cluster architectures (NVIDIA A100/H100, TPU pods), managing distributed training frameworks (PyTorch Distributed, Horovod, DeepSpeed), optimizing training throughput (data parallelism, tensor parallelism, pipeline parallelism), building high-performance model serving infrastructure (Triton Inference Server, vLLM, TGI, Ray Serve), managing InfiniBand and high-speed networking for AI clusters, optimizing storage systems for training data pipelines (Lustre, GPFS, NVMe-over-Fabrics), managing CUDA environments, and implementing model quantization and serving optimization for cost-efficient inference.</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Deep knowledge of GPU architecture (CUDA, cuDNN, NCCL), distributed systems, Kubernetes (with GPU device plugins), InfiniBand networking, and storage systems for AI is required. Experience with PyTorch, NVIDIA tooling (Nsight, DCGM), distributed training frameworks, and inference optimization libraries distinguishes expert practitioners. Linux systems administration at scale and familiarity with cloud AI platforms (AWS EC2 P/Trn instances, GCP TPUs, Azure NDv5 series) are expected. Soft skills: the ability to communicate infrastructure constraints to research teams and to find the optimal balance between infrastructure cost and training efficiency.</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AI Infrastructure Engineers are passionate about the intersection of hardware and software performance—they derive deep satisfaction from squeezing more training throughput out of a GPU cluster. They are rigorous systems debuggers who can trace performance issues from the model level through framework internals down to hardware characteristics. They work closely with AI researchers and develop genuine appreciation for both the research goals and the operational realities of running AI at scale.</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DevOps/HPC Engineer → AI Infrastructure Engineer → Senior AI Infrastructure Engineer → Staff AI Infrastructure Engineer → Principal Engineer or Head of AI Infrastructure → VP of AI Infrastructure. Many of the world's most valuable engineers work in this role at frontier AI labs.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$130,000–$170,000 (mid-level), $175,000–$250,000 (senior), $260,000–$600,000+ (staff/principal at frontier AI labs including equity). This is among the highest-compensated engineering roles in the industry. Annual salary growth of 14–20% is projected through 2027, driven by the insatiable appetite of AI model development for compute.</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Levels.fyi – AI Infrastructure Engineer Compensation (2024)</w:t>
      </w:r>
    </w:p>
    <w:p>
      <w:pPr>
        <w:pStyle w:val="ListParagraph"/>
        <w:numPr>
          <w:ilvl w:val="0"/>
          <w:numId w:val="2"/>
        </w:numPr>
        <w:spacing w:after="100"/>
      </w:pPr>
      <w:r>
        <w:rPr>
          <w:rFonts w:ascii="Arial" w:cs="Arial" w:eastAsia="Arial" w:hAnsi="Arial"/>
          <w:color w:val="444444"/>
          <w:sz w:val="22"/>
          <w:szCs w:val="22"/>
        </w:rPr>
        <w:t xml:space="preserve">NVIDIA AI Infrastructure Workforce Report (2024)</w:t>
      </w:r>
    </w:p>
    <w:p>
      <w:pPr>
        <w:pStyle w:val="ListParagraph"/>
        <w:numPr>
          <w:ilvl w:val="0"/>
          <w:numId w:val="2"/>
        </w:numPr>
        <w:spacing w:after="100"/>
      </w:pPr>
      <w:r>
        <w:rPr>
          <w:rFonts w:ascii="Arial" w:cs="Arial" w:eastAsia="Arial" w:hAnsi="Arial"/>
          <w:color w:val="444444"/>
          <w:sz w:val="22"/>
          <w:szCs w:val="22"/>
        </w:rPr>
        <w:t xml:space="preserve">Epoch AI – Compute Trends in Machine Learning (2024)</w:t>
      </w:r>
    </w:p>
    <w:p>
      <w:pPr>
        <w:pStyle w:val="ListParagraph"/>
        <w:numPr>
          <w:ilvl w:val="0"/>
          <w:numId w:val="2"/>
        </w:numPr>
        <w:spacing w:after="100"/>
      </w:pPr>
      <w:r>
        <w:rPr>
          <w:rFonts w:ascii="Arial" w:cs="Arial" w:eastAsia="Arial" w:hAnsi="Arial"/>
          <w:color w:val="444444"/>
          <w:sz w:val="22"/>
          <w:szCs w:val="22"/>
        </w:rPr>
        <w:t xml:space="preserve">Glassdoor – AI Infrastructure Engineer Salaries (2024)</w:t>
      </w:r>
    </w:p>
    <w:p>
      <w:pPr>
        <w:pStyle w:val="ListParagraph"/>
        <w:numPr>
          <w:ilvl w:val="0"/>
          <w:numId w:val="2"/>
        </w:numPr>
        <w:spacing w:after="100"/>
      </w:pPr>
      <w:r>
        <w:rPr>
          <w:rFonts w:ascii="Arial" w:cs="Arial" w:eastAsia="Arial" w:hAnsi="Arial"/>
          <w:color w:val="444444"/>
          <w:sz w:val="22"/>
          <w:szCs w:val="22"/>
        </w:rPr>
        <w:t xml:space="preserve">MLCommons MLPerf Training Benchmarks (2024)</w:t>
      </w:r>
    </w:p>
    <w:p>
      <w:pPr>
        <w:pStyle w:val="ListParagraph"/>
        <w:numPr>
          <w:ilvl w:val="0"/>
          <w:numId w:val="2"/>
        </w:numPr>
        <w:spacing w:after="100"/>
      </w:pPr>
      <w:r>
        <w:rPr>
          <w:rFonts w:ascii="Arial" w:cs="Arial" w:eastAsia="Arial" w:hAnsi="Arial"/>
          <w:color w:val="444444"/>
          <w:sz w:val="22"/>
          <w:szCs w:val="22"/>
        </w:rPr>
        <w:t xml:space="preserve">AI Index Report – Stanford HAI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2026-02-26T21:29:06.276Z</dcterms:created>
  <dcterms:modified xsi:type="dcterms:W3CDTF">2026-02-26T21:29:06.276Z</dcterms:modified>
</cp:coreProperties>
</file>

<file path=docProps/custom.xml><?xml version="1.0" encoding="utf-8"?>
<Properties xmlns="http://schemas.openxmlformats.org/officeDocument/2006/custom-properties" xmlns:vt="http://schemas.openxmlformats.org/officeDocument/2006/docPropsVTypes"/>
</file>