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F1C1B" w14:textId="77777777" w:rsidR="00184BDA" w:rsidRDefault="00000000">
      <w:pPr>
        <w:spacing w:before="2600"/>
        <w:jc w:val="center"/>
      </w:pPr>
      <w:r>
        <w:rPr>
          <w:b/>
          <w:bCs/>
          <w:color w:val="2E5496"/>
          <w:sz w:val="30"/>
          <w:szCs w:val="30"/>
        </w:rPr>
        <w:t>PROJET YMMO</w:t>
      </w:r>
    </w:p>
    <w:p w14:paraId="06A639AA" w14:textId="77777777" w:rsidR="00184BDA" w:rsidRDefault="00000000">
      <w:pPr>
        <w:spacing w:before="120" w:after="480"/>
        <w:jc w:val="center"/>
      </w:pPr>
      <w:r>
        <w:rPr>
          <w:color w:val="888888"/>
        </w:rPr>
        <w:t xml:space="preserve">Infrastructure réseau </w:t>
      </w:r>
      <w:proofErr w:type="spellStart"/>
      <w:r>
        <w:rPr>
          <w:color w:val="888888"/>
        </w:rPr>
        <w:t>multi-sites</w:t>
      </w:r>
      <w:proofErr w:type="spellEnd"/>
    </w:p>
    <w:p w14:paraId="31FED9EB" w14:textId="77777777" w:rsidR="00184BDA" w:rsidRDefault="00000000">
      <w:pPr>
        <w:pBdr>
          <w:top w:val="single" w:sz="12" w:space="6" w:color="1F3864"/>
          <w:bottom w:val="single" w:sz="12" w:space="6" w:color="1F3864"/>
        </w:pBdr>
        <w:jc w:val="center"/>
      </w:pPr>
      <w:r>
        <w:rPr>
          <w:b/>
          <w:bCs/>
          <w:color w:val="1F3864"/>
          <w:sz w:val="44"/>
          <w:szCs w:val="44"/>
        </w:rPr>
        <w:t>Proposition de solution Cloud</w:t>
      </w:r>
    </w:p>
    <w:p w14:paraId="18FAD7D4" w14:textId="77777777" w:rsidR="00184BDA" w:rsidRDefault="00000000">
      <w:pPr>
        <w:spacing w:before="360"/>
        <w:jc w:val="center"/>
      </w:pPr>
      <w:r>
        <w:rPr>
          <w:i/>
          <w:iCs/>
          <w:color w:val="555555"/>
        </w:rPr>
        <w:t>Étude de migration vers Microsoft Azure</w:t>
      </w:r>
    </w:p>
    <w:p w14:paraId="6A36901E" w14:textId="77777777" w:rsidR="00184BDA" w:rsidRDefault="00000000">
      <w:pPr>
        <w:spacing w:before="2400"/>
        <w:jc w:val="center"/>
      </w:pPr>
      <w:r>
        <w:rPr>
          <w:color w:val="888888"/>
          <w:sz w:val="20"/>
          <w:szCs w:val="20"/>
        </w:rPr>
        <w:t>Document technique — Pôle IT &amp; Support</w:t>
      </w:r>
    </w:p>
    <w:p w14:paraId="4A43C044" w14:textId="77777777" w:rsidR="00184BDA" w:rsidRDefault="00000000">
      <w:pPr>
        <w:spacing w:before="80"/>
        <w:jc w:val="center"/>
      </w:pPr>
      <w:r>
        <w:rPr>
          <w:color w:val="888888"/>
          <w:sz w:val="20"/>
          <w:szCs w:val="20"/>
        </w:rPr>
        <w:t>Siège social — Aix-en-Provence</w:t>
      </w:r>
    </w:p>
    <w:p w14:paraId="2433C3BA" w14:textId="77777777" w:rsidR="00184BDA" w:rsidRDefault="00000000">
      <w:r>
        <w:br w:type="page"/>
      </w:r>
    </w:p>
    <w:p w14:paraId="70E873EF" w14:textId="77777777" w:rsidR="00184BDA" w:rsidRDefault="00000000">
      <w:pPr>
        <w:spacing w:after="160"/>
      </w:pPr>
      <w:r>
        <w:rPr>
          <w:b/>
          <w:bCs/>
          <w:color w:val="1F3864"/>
          <w:sz w:val="28"/>
          <w:szCs w:val="28"/>
        </w:rPr>
        <w:lastRenderedPageBreak/>
        <w:t>Sommaire</w:t>
      </w:r>
    </w:p>
    <w:sdt>
      <w:sdtPr>
        <w:alias w:val="Sommaire"/>
        <w:id w:val="-2071721464"/>
      </w:sdtPr>
      <w:sdtContent>
        <w:p w14:paraId="20B48EF6" w14:textId="77777777" w:rsidR="00ED6E87" w:rsidRDefault="00000000">
          <w:pPr>
            <w:pStyle w:val="TM1"/>
            <w:tabs>
              <w:tab w:val="right" w:leader="dot" w:pos="9016"/>
            </w:tabs>
            <w:rPr>
              <w:noProof/>
            </w:rPr>
          </w:pPr>
          <w:r>
            <w:fldChar w:fldCharType="begin"/>
          </w:r>
          <w:r>
            <w:instrText>TOC \h \o "1-2"</w:instrText>
          </w:r>
          <w:r>
            <w:fldChar w:fldCharType="separate"/>
          </w:r>
          <w:hyperlink w:anchor="_Toc232158802" w:history="1">
            <w:r w:rsidR="00ED6E87" w:rsidRPr="001F3BA0">
              <w:rPr>
                <w:rStyle w:val="Lienhypertexte"/>
                <w:noProof/>
              </w:rPr>
              <w:t>1. Contexte et objectifs</w:t>
            </w:r>
            <w:r w:rsidR="00ED6E87">
              <w:rPr>
                <w:noProof/>
              </w:rPr>
              <w:tab/>
            </w:r>
            <w:r w:rsidR="00ED6E87">
              <w:rPr>
                <w:noProof/>
              </w:rPr>
              <w:fldChar w:fldCharType="begin"/>
            </w:r>
            <w:r w:rsidR="00ED6E87">
              <w:rPr>
                <w:noProof/>
              </w:rPr>
              <w:instrText xml:space="preserve"> PAGEREF _Toc232158802 \h </w:instrText>
            </w:r>
            <w:r w:rsidR="00ED6E87">
              <w:rPr>
                <w:noProof/>
              </w:rPr>
            </w:r>
            <w:r w:rsidR="00ED6E87">
              <w:rPr>
                <w:noProof/>
              </w:rPr>
              <w:fldChar w:fldCharType="separate"/>
            </w:r>
            <w:r w:rsidR="00ED6E87">
              <w:rPr>
                <w:noProof/>
              </w:rPr>
              <w:t>1</w:t>
            </w:r>
            <w:r w:rsidR="00ED6E87">
              <w:rPr>
                <w:noProof/>
              </w:rPr>
              <w:fldChar w:fldCharType="end"/>
            </w:r>
          </w:hyperlink>
        </w:p>
        <w:p w14:paraId="49DD4603" w14:textId="77777777" w:rsidR="00ED6E87" w:rsidRDefault="00ED6E87">
          <w:pPr>
            <w:pStyle w:val="TM2"/>
            <w:tabs>
              <w:tab w:val="right" w:leader="dot" w:pos="9016"/>
            </w:tabs>
            <w:rPr>
              <w:noProof/>
            </w:rPr>
          </w:pPr>
          <w:hyperlink w:anchor="_Toc232158803" w:history="1">
            <w:r w:rsidRPr="001F3BA0">
              <w:rPr>
                <w:rStyle w:val="Lienhypertexte"/>
                <w:noProof/>
              </w:rPr>
              <w:t>1.1. Limites de l'infrastructure on-premise actuelle</w:t>
            </w:r>
            <w:r>
              <w:rPr>
                <w:noProof/>
              </w:rPr>
              <w:tab/>
            </w:r>
            <w:r>
              <w:rPr>
                <w:noProof/>
              </w:rPr>
              <w:fldChar w:fldCharType="begin"/>
            </w:r>
            <w:r>
              <w:rPr>
                <w:noProof/>
              </w:rPr>
              <w:instrText xml:space="preserve"> PAGEREF _Toc232158803 \h </w:instrText>
            </w:r>
            <w:r>
              <w:rPr>
                <w:noProof/>
              </w:rPr>
            </w:r>
            <w:r>
              <w:rPr>
                <w:noProof/>
              </w:rPr>
              <w:fldChar w:fldCharType="separate"/>
            </w:r>
            <w:r>
              <w:rPr>
                <w:noProof/>
              </w:rPr>
              <w:t>1</w:t>
            </w:r>
            <w:r>
              <w:rPr>
                <w:noProof/>
              </w:rPr>
              <w:fldChar w:fldCharType="end"/>
            </w:r>
          </w:hyperlink>
        </w:p>
        <w:p w14:paraId="48D3C857" w14:textId="77777777" w:rsidR="00ED6E87" w:rsidRDefault="00ED6E87">
          <w:pPr>
            <w:pStyle w:val="TM2"/>
            <w:tabs>
              <w:tab w:val="right" w:leader="dot" w:pos="9016"/>
            </w:tabs>
            <w:rPr>
              <w:noProof/>
            </w:rPr>
          </w:pPr>
          <w:hyperlink w:anchor="_Toc232158804" w:history="1">
            <w:r w:rsidRPr="001F3BA0">
              <w:rPr>
                <w:rStyle w:val="Lienhypertexte"/>
                <w:noProof/>
              </w:rPr>
              <w:t>1.2. Bénéfices attendus du cloud</w:t>
            </w:r>
            <w:r>
              <w:rPr>
                <w:noProof/>
              </w:rPr>
              <w:tab/>
            </w:r>
            <w:r>
              <w:rPr>
                <w:noProof/>
              </w:rPr>
              <w:fldChar w:fldCharType="begin"/>
            </w:r>
            <w:r>
              <w:rPr>
                <w:noProof/>
              </w:rPr>
              <w:instrText xml:space="preserve"> PAGEREF _Toc232158804 \h </w:instrText>
            </w:r>
            <w:r>
              <w:rPr>
                <w:noProof/>
              </w:rPr>
            </w:r>
            <w:r>
              <w:rPr>
                <w:noProof/>
              </w:rPr>
              <w:fldChar w:fldCharType="separate"/>
            </w:r>
            <w:r>
              <w:rPr>
                <w:noProof/>
              </w:rPr>
              <w:t>1</w:t>
            </w:r>
            <w:r>
              <w:rPr>
                <w:noProof/>
              </w:rPr>
              <w:fldChar w:fldCharType="end"/>
            </w:r>
          </w:hyperlink>
        </w:p>
        <w:p w14:paraId="7FB996FB" w14:textId="77777777" w:rsidR="00ED6E87" w:rsidRDefault="00ED6E87">
          <w:pPr>
            <w:pStyle w:val="TM1"/>
            <w:tabs>
              <w:tab w:val="right" w:leader="dot" w:pos="9016"/>
            </w:tabs>
            <w:rPr>
              <w:noProof/>
            </w:rPr>
          </w:pPr>
          <w:hyperlink w:anchor="_Toc232158805" w:history="1">
            <w:r w:rsidRPr="001F3BA0">
              <w:rPr>
                <w:rStyle w:val="Lienhypertexte"/>
                <w:noProof/>
              </w:rPr>
              <w:t>2. Choix du fournisseur</w:t>
            </w:r>
            <w:r>
              <w:rPr>
                <w:noProof/>
              </w:rPr>
              <w:tab/>
            </w:r>
            <w:r>
              <w:rPr>
                <w:noProof/>
              </w:rPr>
              <w:fldChar w:fldCharType="begin"/>
            </w:r>
            <w:r>
              <w:rPr>
                <w:noProof/>
              </w:rPr>
              <w:instrText xml:space="preserve"> PAGEREF _Toc232158805 \h </w:instrText>
            </w:r>
            <w:r>
              <w:rPr>
                <w:noProof/>
              </w:rPr>
            </w:r>
            <w:r>
              <w:rPr>
                <w:noProof/>
              </w:rPr>
              <w:fldChar w:fldCharType="separate"/>
            </w:r>
            <w:r>
              <w:rPr>
                <w:noProof/>
              </w:rPr>
              <w:t>1</w:t>
            </w:r>
            <w:r>
              <w:rPr>
                <w:noProof/>
              </w:rPr>
              <w:fldChar w:fldCharType="end"/>
            </w:r>
          </w:hyperlink>
        </w:p>
        <w:p w14:paraId="0DE2122C" w14:textId="77777777" w:rsidR="00ED6E87" w:rsidRDefault="00ED6E87">
          <w:pPr>
            <w:pStyle w:val="TM2"/>
            <w:tabs>
              <w:tab w:val="right" w:leader="dot" w:pos="9016"/>
            </w:tabs>
            <w:rPr>
              <w:noProof/>
            </w:rPr>
          </w:pPr>
          <w:hyperlink w:anchor="_Toc232158806" w:history="1">
            <w:r w:rsidRPr="001F3BA0">
              <w:rPr>
                <w:rStyle w:val="Lienhypertexte"/>
                <w:noProof/>
              </w:rPr>
              <w:t>2.1. Comparatif</w:t>
            </w:r>
            <w:r>
              <w:rPr>
                <w:noProof/>
              </w:rPr>
              <w:tab/>
            </w:r>
            <w:r>
              <w:rPr>
                <w:noProof/>
              </w:rPr>
              <w:fldChar w:fldCharType="begin"/>
            </w:r>
            <w:r>
              <w:rPr>
                <w:noProof/>
              </w:rPr>
              <w:instrText xml:space="preserve"> PAGEREF _Toc232158806 \h </w:instrText>
            </w:r>
            <w:r>
              <w:rPr>
                <w:noProof/>
              </w:rPr>
            </w:r>
            <w:r>
              <w:rPr>
                <w:noProof/>
              </w:rPr>
              <w:fldChar w:fldCharType="separate"/>
            </w:r>
            <w:r>
              <w:rPr>
                <w:noProof/>
              </w:rPr>
              <w:t>1</w:t>
            </w:r>
            <w:r>
              <w:rPr>
                <w:noProof/>
              </w:rPr>
              <w:fldChar w:fldCharType="end"/>
            </w:r>
          </w:hyperlink>
        </w:p>
        <w:p w14:paraId="34DFE68B" w14:textId="77777777" w:rsidR="00ED6E87" w:rsidRDefault="00ED6E87">
          <w:pPr>
            <w:pStyle w:val="TM1"/>
            <w:tabs>
              <w:tab w:val="right" w:leader="dot" w:pos="9016"/>
            </w:tabs>
            <w:rPr>
              <w:noProof/>
            </w:rPr>
          </w:pPr>
          <w:hyperlink w:anchor="_Toc232158807" w:history="1">
            <w:r w:rsidRPr="001F3BA0">
              <w:rPr>
                <w:rStyle w:val="Lienhypertexte"/>
                <w:noProof/>
              </w:rPr>
              <w:t>3. Architecture cible Azure</w:t>
            </w:r>
            <w:r>
              <w:rPr>
                <w:noProof/>
              </w:rPr>
              <w:tab/>
            </w:r>
            <w:r>
              <w:rPr>
                <w:noProof/>
              </w:rPr>
              <w:fldChar w:fldCharType="begin"/>
            </w:r>
            <w:r>
              <w:rPr>
                <w:noProof/>
              </w:rPr>
              <w:instrText xml:space="preserve"> PAGEREF _Toc232158807 \h </w:instrText>
            </w:r>
            <w:r>
              <w:rPr>
                <w:noProof/>
              </w:rPr>
            </w:r>
            <w:r>
              <w:rPr>
                <w:noProof/>
              </w:rPr>
              <w:fldChar w:fldCharType="separate"/>
            </w:r>
            <w:r>
              <w:rPr>
                <w:noProof/>
              </w:rPr>
              <w:t>1</w:t>
            </w:r>
            <w:r>
              <w:rPr>
                <w:noProof/>
              </w:rPr>
              <w:fldChar w:fldCharType="end"/>
            </w:r>
          </w:hyperlink>
        </w:p>
        <w:p w14:paraId="0C9C440E" w14:textId="77777777" w:rsidR="00ED6E87" w:rsidRDefault="00ED6E87">
          <w:pPr>
            <w:pStyle w:val="TM1"/>
            <w:tabs>
              <w:tab w:val="right" w:leader="dot" w:pos="9016"/>
            </w:tabs>
            <w:rPr>
              <w:noProof/>
            </w:rPr>
          </w:pPr>
          <w:hyperlink w:anchor="_Toc232158808" w:history="1">
            <w:r w:rsidRPr="001F3BA0">
              <w:rPr>
                <w:rStyle w:val="Lienhypertexte"/>
                <w:noProof/>
              </w:rPr>
              <w:t>4. Estimation budgétaire</w:t>
            </w:r>
            <w:r>
              <w:rPr>
                <w:noProof/>
              </w:rPr>
              <w:tab/>
            </w:r>
            <w:r>
              <w:rPr>
                <w:noProof/>
              </w:rPr>
              <w:fldChar w:fldCharType="begin"/>
            </w:r>
            <w:r>
              <w:rPr>
                <w:noProof/>
              </w:rPr>
              <w:instrText xml:space="preserve"> PAGEREF _Toc232158808 \h </w:instrText>
            </w:r>
            <w:r>
              <w:rPr>
                <w:noProof/>
              </w:rPr>
            </w:r>
            <w:r>
              <w:rPr>
                <w:noProof/>
              </w:rPr>
              <w:fldChar w:fldCharType="separate"/>
            </w:r>
            <w:r>
              <w:rPr>
                <w:noProof/>
              </w:rPr>
              <w:t>1</w:t>
            </w:r>
            <w:r>
              <w:rPr>
                <w:noProof/>
              </w:rPr>
              <w:fldChar w:fldCharType="end"/>
            </w:r>
          </w:hyperlink>
        </w:p>
        <w:p w14:paraId="61EB9397" w14:textId="77777777" w:rsidR="00ED6E87" w:rsidRDefault="00ED6E87">
          <w:pPr>
            <w:pStyle w:val="TM2"/>
            <w:tabs>
              <w:tab w:val="right" w:leader="dot" w:pos="9016"/>
            </w:tabs>
            <w:rPr>
              <w:noProof/>
            </w:rPr>
          </w:pPr>
          <w:hyperlink w:anchor="_Toc232158809" w:history="1">
            <w:r w:rsidRPr="001F3BA0">
              <w:rPr>
                <w:rStyle w:val="Lienhypertexte"/>
                <w:noProof/>
              </w:rPr>
              <w:t>4.1. Comparaison on-premise / cloud</w:t>
            </w:r>
            <w:r>
              <w:rPr>
                <w:noProof/>
              </w:rPr>
              <w:tab/>
            </w:r>
            <w:r>
              <w:rPr>
                <w:noProof/>
              </w:rPr>
              <w:fldChar w:fldCharType="begin"/>
            </w:r>
            <w:r>
              <w:rPr>
                <w:noProof/>
              </w:rPr>
              <w:instrText xml:space="preserve"> PAGEREF _Toc232158809 \h </w:instrText>
            </w:r>
            <w:r>
              <w:rPr>
                <w:noProof/>
              </w:rPr>
            </w:r>
            <w:r>
              <w:rPr>
                <w:noProof/>
              </w:rPr>
              <w:fldChar w:fldCharType="separate"/>
            </w:r>
            <w:r>
              <w:rPr>
                <w:noProof/>
              </w:rPr>
              <w:t>1</w:t>
            </w:r>
            <w:r>
              <w:rPr>
                <w:noProof/>
              </w:rPr>
              <w:fldChar w:fldCharType="end"/>
            </w:r>
          </w:hyperlink>
        </w:p>
        <w:p w14:paraId="258A0523" w14:textId="77777777" w:rsidR="00ED6E87" w:rsidRDefault="00ED6E87">
          <w:pPr>
            <w:pStyle w:val="TM1"/>
            <w:tabs>
              <w:tab w:val="right" w:leader="dot" w:pos="9016"/>
            </w:tabs>
            <w:rPr>
              <w:noProof/>
            </w:rPr>
          </w:pPr>
          <w:hyperlink w:anchor="_Toc232158810" w:history="1">
            <w:r w:rsidRPr="001F3BA0">
              <w:rPr>
                <w:rStyle w:val="Lienhypertexte"/>
                <w:noProof/>
              </w:rPr>
              <w:t>5. Stratégie de migration</w:t>
            </w:r>
            <w:r>
              <w:rPr>
                <w:noProof/>
              </w:rPr>
              <w:tab/>
            </w:r>
            <w:r>
              <w:rPr>
                <w:noProof/>
              </w:rPr>
              <w:fldChar w:fldCharType="begin"/>
            </w:r>
            <w:r>
              <w:rPr>
                <w:noProof/>
              </w:rPr>
              <w:instrText xml:space="preserve"> PAGEREF _Toc232158810 \h </w:instrText>
            </w:r>
            <w:r>
              <w:rPr>
                <w:noProof/>
              </w:rPr>
            </w:r>
            <w:r>
              <w:rPr>
                <w:noProof/>
              </w:rPr>
              <w:fldChar w:fldCharType="separate"/>
            </w:r>
            <w:r>
              <w:rPr>
                <w:noProof/>
              </w:rPr>
              <w:t>1</w:t>
            </w:r>
            <w:r>
              <w:rPr>
                <w:noProof/>
              </w:rPr>
              <w:fldChar w:fldCharType="end"/>
            </w:r>
          </w:hyperlink>
        </w:p>
        <w:p w14:paraId="3AF3DE2A" w14:textId="77777777" w:rsidR="00ED6E87" w:rsidRDefault="00ED6E87">
          <w:pPr>
            <w:pStyle w:val="TM1"/>
            <w:tabs>
              <w:tab w:val="right" w:leader="dot" w:pos="9016"/>
            </w:tabs>
            <w:rPr>
              <w:noProof/>
            </w:rPr>
          </w:pPr>
          <w:hyperlink w:anchor="_Toc232158811" w:history="1">
            <w:r w:rsidRPr="001F3BA0">
              <w:rPr>
                <w:rStyle w:val="Lienhypertexte"/>
                <w:noProof/>
              </w:rPr>
              <w:t>6. Recommandation</w:t>
            </w:r>
            <w:r>
              <w:rPr>
                <w:noProof/>
              </w:rPr>
              <w:tab/>
            </w:r>
            <w:r>
              <w:rPr>
                <w:noProof/>
              </w:rPr>
              <w:fldChar w:fldCharType="begin"/>
            </w:r>
            <w:r>
              <w:rPr>
                <w:noProof/>
              </w:rPr>
              <w:instrText xml:space="preserve"> PAGEREF _Toc232158811 \h </w:instrText>
            </w:r>
            <w:r>
              <w:rPr>
                <w:noProof/>
              </w:rPr>
            </w:r>
            <w:r>
              <w:rPr>
                <w:noProof/>
              </w:rPr>
              <w:fldChar w:fldCharType="separate"/>
            </w:r>
            <w:r>
              <w:rPr>
                <w:noProof/>
              </w:rPr>
              <w:t>1</w:t>
            </w:r>
            <w:r>
              <w:rPr>
                <w:noProof/>
              </w:rPr>
              <w:fldChar w:fldCharType="end"/>
            </w:r>
          </w:hyperlink>
        </w:p>
        <w:p w14:paraId="389ED1EB" w14:textId="77777777" w:rsidR="00184BDA" w:rsidRDefault="00000000">
          <w:r>
            <w:fldChar w:fldCharType="end"/>
          </w:r>
        </w:p>
      </w:sdtContent>
    </w:sdt>
    <w:p w14:paraId="3FE7E3FC" w14:textId="77777777" w:rsidR="00184BDA" w:rsidRDefault="00000000">
      <w:r>
        <w:br w:type="page"/>
      </w:r>
    </w:p>
    <w:p w14:paraId="3E221C8E" w14:textId="77777777" w:rsidR="00184BDA" w:rsidRDefault="00000000">
      <w:pPr>
        <w:pStyle w:val="Titre1"/>
      </w:pPr>
      <w:bookmarkStart w:id="0" w:name="_Toc232158802"/>
      <w:r>
        <w:lastRenderedPageBreak/>
        <w:t>1. Contexte et objectifs</w:t>
      </w:r>
      <w:bookmarkEnd w:id="0"/>
    </w:p>
    <w:p w14:paraId="3DAE3D8A" w14:textId="77777777" w:rsidR="00184BDA" w:rsidRDefault="00000000">
      <w:pPr>
        <w:spacing w:after="160"/>
        <w:jc w:val="both"/>
      </w:pPr>
      <w:r>
        <w:rPr>
          <w:color w:val="000000"/>
        </w:rPr>
        <w:t>L'infrastructure actuelle d'</w:t>
      </w:r>
      <w:proofErr w:type="spellStart"/>
      <w:r>
        <w:rPr>
          <w:color w:val="000000"/>
        </w:rPr>
        <w:t>Ymmo</w:t>
      </w:r>
      <w:proofErr w:type="spellEnd"/>
      <w:r>
        <w:rPr>
          <w:color w:val="000000"/>
        </w:rPr>
        <w:t xml:space="preserve"> repose sur des serveurs hébergés au siège d'Aix-en-Provence (modèle on-</w:t>
      </w:r>
      <w:proofErr w:type="spellStart"/>
      <w:r>
        <w:rPr>
          <w:color w:val="000000"/>
        </w:rPr>
        <w:t>premise</w:t>
      </w:r>
      <w:proofErr w:type="spellEnd"/>
      <w:r>
        <w:rPr>
          <w:color w:val="000000"/>
        </w:rPr>
        <w:t>). Cette étude examine l'opportunité d'une migration vers le cloud afin d'améliorer la disponibilité, la sécurité et la scalabilité du système d'information, tout en maîtrisant les coûts.</w:t>
      </w:r>
    </w:p>
    <w:p w14:paraId="607BBBAF" w14:textId="77777777" w:rsidR="00184BDA" w:rsidRDefault="00000000">
      <w:pPr>
        <w:spacing w:after="160"/>
        <w:jc w:val="both"/>
      </w:pPr>
      <w:r>
        <w:rPr>
          <w:color w:val="000000"/>
        </w:rPr>
        <w:t xml:space="preserve">L'enjeu est particulièrement pertinent pour </w:t>
      </w:r>
      <w:proofErr w:type="spellStart"/>
      <w:r>
        <w:rPr>
          <w:color w:val="000000"/>
        </w:rPr>
        <w:t>Ymmo</w:t>
      </w:r>
      <w:proofErr w:type="spellEnd"/>
      <w:r>
        <w:rPr>
          <w:color w:val="000000"/>
        </w:rPr>
        <w:t xml:space="preserve"> : avec 12 agences réparties sur le territoire, un hébergement cloud supprime la dépendance au site unique du siège et offre à chaque agence un accès identique aux ressources, sans dépendre de la disponibilité d'un serveur physique central. Cette proposition n'a pas vocation à être déployée dans la maquette, mais à éclairer une décision stratégique.</w:t>
      </w:r>
    </w:p>
    <w:p w14:paraId="05DC1FA4" w14:textId="77777777" w:rsidR="00184BDA" w:rsidRDefault="00000000">
      <w:pPr>
        <w:pStyle w:val="Titre2"/>
      </w:pPr>
      <w:bookmarkStart w:id="1" w:name="_Toc232158803"/>
      <w:r>
        <w:t>1.1. Limites de l'infrastructure on-</w:t>
      </w:r>
      <w:proofErr w:type="spellStart"/>
      <w:r>
        <w:t>premise</w:t>
      </w:r>
      <w:proofErr w:type="spellEnd"/>
      <w:r>
        <w:t xml:space="preserve"> actuelle</w:t>
      </w:r>
      <w:bookmarkEnd w:id="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226"/>
      </w:tblGrid>
      <w:tr w:rsidR="00184BDA" w14:paraId="50FC46C0" w14:textId="77777777">
        <w:tblPrEx>
          <w:tblCellMar>
            <w:top w:w="0" w:type="dxa"/>
            <w:bottom w:w="0" w:type="dxa"/>
          </w:tblCellMar>
        </w:tblPrEx>
        <w:trPr>
          <w:tblHeader/>
        </w:trPr>
        <w:tc>
          <w:tcPr>
            <w:tcW w:w="38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68B67BBE" w14:textId="77777777" w:rsidR="00184BDA" w:rsidRDefault="00000000">
            <w:r>
              <w:rPr>
                <w:b/>
                <w:bCs/>
                <w:color w:val="FFFFFF"/>
                <w:sz w:val="20"/>
                <w:szCs w:val="20"/>
              </w:rPr>
              <w:t>Limite</w:t>
            </w:r>
          </w:p>
        </w:tc>
        <w:tc>
          <w:tcPr>
            <w:tcW w:w="5226"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3BB60576" w14:textId="77777777" w:rsidR="00184BDA" w:rsidRDefault="00000000">
            <w:r>
              <w:rPr>
                <w:b/>
                <w:bCs/>
                <w:color w:val="FFFFFF"/>
                <w:sz w:val="20"/>
                <w:szCs w:val="20"/>
              </w:rPr>
              <w:t>Conséquence</w:t>
            </w:r>
          </w:p>
        </w:tc>
      </w:tr>
      <w:tr w:rsidR="00184BDA" w14:paraId="3AF420D6" w14:textId="77777777">
        <w:tblPrEx>
          <w:tblCellMar>
            <w:top w:w="0" w:type="dxa"/>
            <w:bottom w:w="0" w:type="dxa"/>
          </w:tblCellMar>
        </w:tblPrEx>
        <w:tc>
          <w:tcPr>
            <w:tcW w:w="3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9330724" w14:textId="77777777" w:rsidR="00184BDA" w:rsidRDefault="00000000">
            <w:r>
              <w:rPr>
                <w:color w:val="000000"/>
                <w:sz w:val="20"/>
                <w:szCs w:val="20"/>
              </w:rPr>
              <w:t>Point unique de défaillance (serveurs au siège)</w:t>
            </w:r>
          </w:p>
        </w:tc>
        <w:tc>
          <w:tcPr>
            <w:tcW w:w="52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5A5F6A6" w14:textId="77777777" w:rsidR="00184BDA" w:rsidRDefault="00000000">
            <w:r>
              <w:rPr>
                <w:color w:val="000000"/>
                <w:sz w:val="20"/>
                <w:szCs w:val="20"/>
              </w:rPr>
              <w:t>Une panne au siège rend les ressources inaccessibles à toutes les agences</w:t>
            </w:r>
          </w:p>
        </w:tc>
      </w:tr>
      <w:tr w:rsidR="00184BDA" w14:paraId="50E1F3D8" w14:textId="77777777">
        <w:tblPrEx>
          <w:tblCellMar>
            <w:top w:w="0" w:type="dxa"/>
            <w:bottom w:w="0" w:type="dxa"/>
          </w:tblCellMar>
        </w:tblPrEx>
        <w:tc>
          <w:tcPr>
            <w:tcW w:w="38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429C861D" w14:textId="77777777" w:rsidR="00184BDA" w:rsidRDefault="00000000">
            <w:r>
              <w:rPr>
                <w:color w:val="000000"/>
                <w:sz w:val="20"/>
                <w:szCs w:val="20"/>
              </w:rPr>
              <w:t>Capacité figée</w:t>
            </w:r>
          </w:p>
        </w:tc>
        <w:tc>
          <w:tcPr>
            <w:tcW w:w="5226"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09D1CE3F" w14:textId="77777777" w:rsidR="00184BDA" w:rsidRDefault="00000000">
            <w:r>
              <w:rPr>
                <w:color w:val="000000"/>
                <w:sz w:val="20"/>
                <w:szCs w:val="20"/>
              </w:rPr>
              <w:t>Tout pic d'activité nécessite l'achat anticipé de matériel</w:t>
            </w:r>
          </w:p>
        </w:tc>
      </w:tr>
      <w:tr w:rsidR="00184BDA" w14:paraId="0DE785C7" w14:textId="77777777">
        <w:tblPrEx>
          <w:tblCellMar>
            <w:top w:w="0" w:type="dxa"/>
            <w:bottom w:w="0" w:type="dxa"/>
          </w:tblCellMar>
        </w:tblPrEx>
        <w:tc>
          <w:tcPr>
            <w:tcW w:w="3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7547EB6" w14:textId="77777777" w:rsidR="00184BDA" w:rsidRDefault="00000000">
            <w:r>
              <w:rPr>
                <w:color w:val="000000"/>
                <w:sz w:val="20"/>
                <w:szCs w:val="20"/>
              </w:rPr>
              <w:t>Maintenance matérielle à la charge d'</w:t>
            </w:r>
            <w:proofErr w:type="spellStart"/>
            <w:r>
              <w:rPr>
                <w:color w:val="000000"/>
                <w:sz w:val="20"/>
                <w:szCs w:val="20"/>
              </w:rPr>
              <w:t>Ymmo</w:t>
            </w:r>
            <w:proofErr w:type="spellEnd"/>
          </w:p>
        </w:tc>
        <w:tc>
          <w:tcPr>
            <w:tcW w:w="52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F8DCC68" w14:textId="77777777" w:rsidR="00184BDA" w:rsidRDefault="00000000">
            <w:r>
              <w:rPr>
                <w:color w:val="000000"/>
                <w:sz w:val="20"/>
                <w:szCs w:val="20"/>
              </w:rPr>
              <w:t>Coûts et compétences internes pour le remplacement, les mises à jour</w:t>
            </w:r>
          </w:p>
        </w:tc>
      </w:tr>
      <w:tr w:rsidR="00184BDA" w14:paraId="0793BDE5" w14:textId="77777777">
        <w:tblPrEx>
          <w:tblCellMar>
            <w:top w:w="0" w:type="dxa"/>
            <w:bottom w:w="0" w:type="dxa"/>
          </w:tblCellMar>
        </w:tblPrEx>
        <w:tc>
          <w:tcPr>
            <w:tcW w:w="38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0603EE86" w14:textId="77777777" w:rsidR="00184BDA" w:rsidRDefault="00000000">
            <w:r>
              <w:rPr>
                <w:color w:val="000000"/>
                <w:sz w:val="20"/>
                <w:szCs w:val="20"/>
              </w:rPr>
              <w:t>Sauvegarde hors site complexe</w:t>
            </w:r>
          </w:p>
        </w:tc>
        <w:tc>
          <w:tcPr>
            <w:tcW w:w="5226"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5FE24C3E" w14:textId="77777777" w:rsidR="00184BDA" w:rsidRDefault="00000000">
            <w:r>
              <w:rPr>
                <w:color w:val="000000"/>
                <w:sz w:val="20"/>
                <w:szCs w:val="20"/>
              </w:rPr>
              <w:t>Externalisation manuelle, risque en cas de sinistre local</w:t>
            </w:r>
          </w:p>
        </w:tc>
      </w:tr>
      <w:tr w:rsidR="00184BDA" w14:paraId="66294EB9" w14:textId="77777777">
        <w:tblPrEx>
          <w:tblCellMar>
            <w:top w:w="0" w:type="dxa"/>
            <w:bottom w:w="0" w:type="dxa"/>
          </w:tblCellMar>
        </w:tblPrEx>
        <w:tc>
          <w:tcPr>
            <w:tcW w:w="3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9E8A5B9" w14:textId="77777777" w:rsidR="00184BDA" w:rsidRDefault="00000000">
            <w:r>
              <w:rPr>
                <w:color w:val="000000"/>
                <w:sz w:val="20"/>
                <w:szCs w:val="20"/>
              </w:rPr>
              <w:t xml:space="preserve">Évolutivité </w:t>
            </w:r>
            <w:proofErr w:type="spellStart"/>
            <w:r>
              <w:rPr>
                <w:color w:val="000000"/>
                <w:sz w:val="20"/>
                <w:szCs w:val="20"/>
              </w:rPr>
              <w:t>multi-sites</w:t>
            </w:r>
            <w:proofErr w:type="spellEnd"/>
            <w:r>
              <w:rPr>
                <w:color w:val="000000"/>
                <w:sz w:val="20"/>
                <w:szCs w:val="20"/>
              </w:rPr>
              <w:t xml:space="preserve"> limitée</w:t>
            </w:r>
          </w:p>
        </w:tc>
        <w:tc>
          <w:tcPr>
            <w:tcW w:w="52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D2A9880" w14:textId="77777777" w:rsidR="00184BDA" w:rsidRDefault="00000000">
            <w:r>
              <w:rPr>
                <w:color w:val="000000"/>
                <w:sz w:val="20"/>
                <w:szCs w:val="20"/>
              </w:rPr>
              <w:t>L'ajout d'une agence implique reconfiguration VPN et adressage</w:t>
            </w:r>
          </w:p>
        </w:tc>
      </w:tr>
    </w:tbl>
    <w:p w14:paraId="59BE0285" w14:textId="77777777" w:rsidR="00184BDA" w:rsidRDefault="00000000">
      <w:pPr>
        <w:pStyle w:val="Titre2"/>
      </w:pPr>
      <w:bookmarkStart w:id="2" w:name="_Toc232158804"/>
      <w:r>
        <w:t>1.2. Bénéfices attendus du cloud</w:t>
      </w:r>
      <w:bookmarkEnd w:id="2"/>
    </w:p>
    <w:p w14:paraId="6973970F" w14:textId="77777777" w:rsidR="00184BDA" w:rsidRDefault="00000000">
      <w:pPr>
        <w:pStyle w:val="Paragraphedeliste"/>
        <w:numPr>
          <w:ilvl w:val="0"/>
          <w:numId w:val="2"/>
        </w:numPr>
        <w:spacing w:after="100"/>
        <w:jc w:val="both"/>
      </w:pPr>
      <w:r>
        <w:t>Haute disponibilité : réplication sur plusieurs centres de données, engagement de service (SLA) contractuel ;</w:t>
      </w:r>
    </w:p>
    <w:p w14:paraId="12770620" w14:textId="77777777" w:rsidR="00184BDA" w:rsidRDefault="00000000">
      <w:pPr>
        <w:pStyle w:val="Paragraphedeliste"/>
        <w:numPr>
          <w:ilvl w:val="0"/>
          <w:numId w:val="2"/>
        </w:numPr>
        <w:spacing w:after="100"/>
        <w:jc w:val="both"/>
      </w:pPr>
      <w:r>
        <w:t>Élasticité : adaptation des ressources à la demande, facturation à l'usage ;</w:t>
      </w:r>
    </w:p>
    <w:p w14:paraId="7B32ADC6" w14:textId="77777777" w:rsidR="00184BDA" w:rsidRDefault="00000000">
      <w:pPr>
        <w:pStyle w:val="Paragraphedeliste"/>
        <w:numPr>
          <w:ilvl w:val="0"/>
          <w:numId w:val="2"/>
        </w:numPr>
        <w:spacing w:after="100"/>
        <w:jc w:val="both"/>
      </w:pPr>
      <w:r>
        <w:t>Sécurité : pare-feu managé, chiffrement, sauvegardes automatiques, conformité RGPD ;</w:t>
      </w:r>
    </w:p>
    <w:p w14:paraId="62416EF4" w14:textId="77777777" w:rsidR="00184BDA" w:rsidRDefault="00000000">
      <w:pPr>
        <w:pStyle w:val="Paragraphedeliste"/>
        <w:numPr>
          <w:ilvl w:val="0"/>
          <w:numId w:val="2"/>
        </w:numPr>
        <w:spacing w:after="100"/>
        <w:jc w:val="both"/>
      </w:pPr>
      <w:r>
        <w:t>Maintenance déléguée : le fournisseur gère le matériel, les correctifs d'infrastructure ;</w:t>
      </w:r>
    </w:p>
    <w:p w14:paraId="034A6162" w14:textId="77777777" w:rsidR="00184BDA" w:rsidRDefault="00000000">
      <w:pPr>
        <w:pStyle w:val="Paragraphedeliste"/>
        <w:numPr>
          <w:ilvl w:val="0"/>
          <w:numId w:val="2"/>
        </w:numPr>
        <w:spacing w:after="100"/>
        <w:jc w:val="both"/>
      </w:pPr>
      <w:r>
        <w:t xml:space="preserve">Accessibilité </w:t>
      </w:r>
      <w:proofErr w:type="spellStart"/>
      <w:r>
        <w:t>multi-sites</w:t>
      </w:r>
      <w:proofErr w:type="spellEnd"/>
      <w:r>
        <w:t xml:space="preserve"> native : chaque agence se connecte aux mêmes services sans serveur local.</w:t>
      </w:r>
    </w:p>
    <w:p w14:paraId="57869ECD" w14:textId="77777777" w:rsidR="00184BDA" w:rsidRDefault="00000000">
      <w:r>
        <w:br w:type="page"/>
      </w:r>
    </w:p>
    <w:p w14:paraId="62871323" w14:textId="77777777" w:rsidR="00184BDA" w:rsidRDefault="00000000">
      <w:pPr>
        <w:pStyle w:val="Titre1"/>
      </w:pPr>
      <w:bookmarkStart w:id="3" w:name="_Toc232158805"/>
      <w:r>
        <w:lastRenderedPageBreak/>
        <w:t>2. Choix du fournisseur</w:t>
      </w:r>
      <w:bookmarkEnd w:id="3"/>
    </w:p>
    <w:p w14:paraId="72F60F70" w14:textId="77777777" w:rsidR="00184BDA" w:rsidRDefault="00000000">
      <w:pPr>
        <w:spacing w:after="160"/>
        <w:jc w:val="both"/>
      </w:pPr>
      <w:r>
        <w:rPr>
          <w:color w:val="000000"/>
        </w:rPr>
        <w:t>Trois fournisseurs majeurs ont été comparés : Microsoft Azure, Amazon Web Services (AWS) et Google Cloud Platform (GCP). Le choix s'oriente vers Azure pour les raisons développées ci-après.</w:t>
      </w:r>
    </w:p>
    <w:p w14:paraId="64BB20D7" w14:textId="77777777" w:rsidR="00184BDA" w:rsidRDefault="00000000">
      <w:pPr>
        <w:pStyle w:val="Titre2"/>
      </w:pPr>
      <w:bookmarkStart w:id="4" w:name="_Toc232158806"/>
      <w:r>
        <w:t>2.1. Comparatif</w:t>
      </w:r>
      <w:bookmarkEnd w:id="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200"/>
        <w:gridCol w:w="1900"/>
        <w:gridCol w:w="1926"/>
      </w:tblGrid>
      <w:tr w:rsidR="00184BDA" w14:paraId="09400061" w14:textId="77777777">
        <w:tblPrEx>
          <w:tblCellMar>
            <w:top w:w="0" w:type="dxa"/>
            <w:bottom w:w="0" w:type="dxa"/>
          </w:tblCellMar>
        </w:tblPrEx>
        <w:trPr>
          <w:tblHeader/>
        </w:trPr>
        <w:tc>
          <w:tcPr>
            <w:tcW w:w="30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79E7BA55" w14:textId="77777777" w:rsidR="00184BDA" w:rsidRDefault="00000000">
            <w:r>
              <w:rPr>
                <w:b/>
                <w:bCs/>
                <w:color w:val="FFFFFF"/>
                <w:sz w:val="20"/>
                <w:szCs w:val="20"/>
              </w:rPr>
              <w:t>Critère</w:t>
            </w:r>
          </w:p>
        </w:tc>
        <w:tc>
          <w:tcPr>
            <w:tcW w:w="22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49E4541A" w14:textId="77777777" w:rsidR="00184BDA" w:rsidRDefault="00000000">
            <w:r>
              <w:rPr>
                <w:b/>
                <w:bCs/>
                <w:color w:val="FFFFFF"/>
                <w:sz w:val="20"/>
                <w:szCs w:val="20"/>
              </w:rPr>
              <w:t>Microsoft Azure</w:t>
            </w:r>
          </w:p>
        </w:tc>
        <w:tc>
          <w:tcPr>
            <w:tcW w:w="19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577B41C9" w14:textId="77777777" w:rsidR="00184BDA" w:rsidRDefault="00000000">
            <w:r>
              <w:rPr>
                <w:b/>
                <w:bCs/>
                <w:color w:val="FFFFFF"/>
                <w:sz w:val="20"/>
                <w:szCs w:val="20"/>
              </w:rPr>
              <w:t>AWS</w:t>
            </w:r>
          </w:p>
        </w:tc>
        <w:tc>
          <w:tcPr>
            <w:tcW w:w="1926"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2E979BC7" w14:textId="77777777" w:rsidR="00184BDA" w:rsidRDefault="00000000">
            <w:r>
              <w:rPr>
                <w:b/>
                <w:bCs/>
                <w:color w:val="FFFFFF"/>
                <w:sz w:val="20"/>
                <w:szCs w:val="20"/>
              </w:rPr>
              <w:t>Google Cloud</w:t>
            </w:r>
          </w:p>
        </w:tc>
      </w:tr>
      <w:tr w:rsidR="00184BDA" w14:paraId="775D20F8"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75B4FF8" w14:textId="77777777" w:rsidR="00184BDA" w:rsidRDefault="00000000">
            <w:r>
              <w:rPr>
                <w:color w:val="000000"/>
                <w:sz w:val="20"/>
                <w:szCs w:val="20"/>
              </w:rPr>
              <w:t>Intégration Active Directory</w:t>
            </w:r>
          </w:p>
        </w:tc>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517C8EB" w14:textId="77777777" w:rsidR="00184BDA" w:rsidRDefault="00000000">
            <w:r>
              <w:rPr>
                <w:color w:val="000000"/>
                <w:sz w:val="20"/>
                <w:szCs w:val="20"/>
              </w:rPr>
              <w:t>Native (Azure AD / Entra ID)</w:t>
            </w:r>
          </w:p>
        </w:tc>
        <w:tc>
          <w:tcPr>
            <w:tcW w:w="19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C83A188" w14:textId="77777777" w:rsidR="00184BDA" w:rsidRDefault="00000000">
            <w:r>
              <w:rPr>
                <w:color w:val="000000"/>
                <w:sz w:val="20"/>
                <w:szCs w:val="20"/>
              </w:rPr>
              <w:t>Via service tiers</w:t>
            </w:r>
          </w:p>
        </w:tc>
        <w:tc>
          <w:tcPr>
            <w:tcW w:w="19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0D8C728" w14:textId="77777777" w:rsidR="00184BDA" w:rsidRDefault="00000000">
            <w:r>
              <w:rPr>
                <w:color w:val="000000"/>
                <w:sz w:val="20"/>
                <w:szCs w:val="20"/>
              </w:rPr>
              <w:t>Via service tiers</w:t>
            </w:r>
          </w:p>
        </w:tc>
      </w:tr>
      <w:tr w:rsidR="00184BDA" w14:paraId="67F1BB5A"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4AC6C952" w14:textId="77777777" w:rsidR="00184BDA" w:rsidRDefault="00000000">
            <w:r>
              <w:rPr>
                <w:color w:val="000000"/>
                <w:sz w:val="20"/>
                <w:szCs w:val="20"/>
              </w:rPr>
              <w:t>Continuité avec l'existant Windows</w:t>
            </w:r>
          </w:p>
        </w:tc>
        <w:tc>
          <w:tcPr>
            <w:tcW w:w="22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4726391D" w14:textId="77777777" w:rsidR="00184BDA" w:rsidRDefault="00000000">
            <w:r>
              <w:rPr>
                <w:color w:val="000000"/>
                <w:sz w:val="20"/>
                <w:szCs w:val="20"/>
              </w:rPr>
              <w:t>Excellente</w:t>
            </w:r>
          </w:p>
        </w:tc>
        <w:tc>
          <w:tcPr>
            <w:tcW w:w="19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2069DDB6" w14:textId="77777777" w:rsidR="00184BDA" w:rsidRDefault="00000000">
            <w:r>
              <w:rPr>
                <w:color w:val="000000"/>
                <w:sz w:val="20"/>
                <w:szCs w:val="20"/>
              </w:rPr>
              <w:t>Bonne</w:t>
            </w:r>
          </w:p>
        </w:tc>
        <w:tc>
          <w:tcPr>
            <w:tcW w:w="1926"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186B503C" w14:textId="77777777" w:rsidR="00184BDA" w:rsidRDefault="00000000">
            <w:r>
              <w:rPr>
                <w:color w:val="000000"/>
                <w:sz w:val="20"/>
                <w:szCs w:val="20"/>
              </w:rPr>
              <w:t>Moyenne</w:t>
            </w:r>
          </w:p>
        </w:tc>
      </w:tr>
      <w:tr w:rsidR="00184BDA" w14:paraId="6E238512"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FAD5652" w14:textId="77777777" w:rsidR="00184BDA" w:rsidRDefault="00000000">
            <w:r>
              <w:rPr>
                <w:color w:val="000000"/>
                <w:sz w:val="20"/>
                <w:szCs w:val="20"/>
              </w:rPr>
              <w:t>Courbe d'apprentissage (équipe Windows)</w:t>
            </w:r>
          </w:p>
        </w:tc>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7D54D78" w14:textId="77777777" w:rsidR="00184BDA" w:rsidRDefault="00000000">
            <w:r>
              <w:rPr>
                <w:color w:val="000000"/>
                <w:sz w:val="20"/>
                <w:szCs w:val="20"/>
              </w:rPr>
              <w:t>Faible</w:t>
            </w:r>
          </w:p>
        </w:tc>
        <w:tc>
          <w:tcPr>
            <w:tcW w:w="19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D09F1F3" w14:textId="77777777" w:rsidR="00184BDA" w:rsidRDefault="00000000">
            <w:r>
              <w:rPr>
                <w:color w:val="000000"/>
                <w:sz w:val="20"/>
                <w:szCs w:val="20"/>
              </w:rPr>
              <w:t>Élevée</w:t>
            </w:r>
          </w:p>
        </w:tc>
        <w:tc>
          <w:tcPr>
            <w:tcW w:w="19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193CCC6" w14:textId="77777777" w:rsidR="00184BDA" w:rsidRDefault="00000000">
            <w:r>
              <w:rPr>
                <w:color w:val="000000"/>
                <w:sz w:val="20"/>
                <w:szCs w:val="20"/>
              </w:rPr>
              <w:t>Élevée</w:t>
            </w:r>
          </w:p>
        </w:tc>
      </w:tr>
      <w:tr w:rsidR="00184BDA" w14:paraId="2A599B7F"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63B4E5C5" w14:textId="77777777" w:rsidR="00184BDA" w:rsidRDefault="00000000">
            <w:r>
              <w:rPr>
                <w:color w:val="000000"/>
                <w:sz w:val="20"/>
                <w:szCs w:val="20"/>
              </w:rPr>
              <w:t>Présence de centres en France</w:t>
            </w:r>
          </w:p>
        </w:tc>
        <w:tc>
          <w:tcPr>
            <w:tcW w:w="22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2DDF9581" w14:textId="77777777" w:rsidR="00184BDA" w:rsidRDefault="00000000">
            <w:r>
              <w:rPr>
                <w:color w:val="000000"/>
                <w:sz w:val="20"/>
                <w:szCs w:val="20"/>
              </w:rPr>
              <w:t>Oui (Paris)</w:t>
            </w:r>
          </w:p>
        </w:tc>
        <w:tc>
          <w:tcPr>
            <w:tcW w:w="19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75772EA8" w14:textId="77777777" w:rsidR="00184BDA" w:rsidRDefault="00000000">
            <w:r>
              <w:rPr>
                <w:color w:val="000000"/>
                <w:sz w:val="20"/>
                <w:szCs w:val="20"/>
              </w:rPr>
              <w:t>Oui (Paris)</w:t>
            </w:r>
          </w:p>
        </w:tc>
        <w:tc>
          <w:tcPr>
            <w:tcW w:w="1926"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7845D718" w14:textId="77777777" w:rsidR="00184BDA" w:rsidRDefault="00000000">
            <w:r>
              <w:rPr>
                <w:color w:val="000000"/>
                <w:sz w:val="20"/>
                <w:szCs w:val="20"/>
              </w:rPr>
              <w:t>Oui (Paris)</w:t>
            </w:r>
          </w:p>
        </w:tc>
      </w:tr>
      <w:tr w:rsidR="00184BDA" w14:paraId="7D587A5B"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AAF20A4" w14:textId="77777777" w:rsidR="00184BDA" w:rsidRDefault="00000000">
            <w:r>
              <w:rPr>
                <w:color w:val="000000"/>
                <w:sz w:val="20"/>
                <w:szCs w:val="20"/>
              </w:rPr>
              <w:t>Tarification PME</w:t>
            </w:r>
          </w:p>
        </w:tc>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B8414B0" w14:textId="77777777" w:rsidR="00184BDA" w:rsidRDefault="00000000">
            <w:r>
              <w:rPr>
                <w:color w:val="000000"/>
                <w:sz w:val="20"/>
                <w:szCs w:val="20"/>
              </w:rPr>
              <w:t>Compétitive</w:t>
            </w:r>
          </w:p>
        </w:tc>
        <w:tc>
          <w:tcPr>
            <w:tcW w:w="19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51A66FF" w14:textId="77777777" w:rsidR="00184BDA" w:rsidRDefault="00000000">
            <w:r>
              <w:rPr>
                <w:color w:val="000000"/>
                <w:sz w:val="20"/>
                <w:szCs w:val="20"/>
              </w:rPr>
              <w:t>Compétitive</w:t>
            </w:r>
          </w:p>
        </w:tc>
        <w:tc>
          <w:tcPr>
            <w:tcW w:w="19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0EE3447" w14:textId="77777777" w:rsidR="00184BDA" w:rsidRDefault="00000000">
            <w:r>
              <w:rPr>
                <w:color w:val="000000"/>
                <w:sz w:val="20"/>
                <w:szCs w:val="20"/>
              </w:rPr>
              <w:t>Compétitive</w:t>
            </w:r>
          </w:p>
        </w:tc>
      </w:tr>
    </w:tbl>
    <w:p w14:paraId="465AEAEC" w14:textId="77777777" w:rsidR="00184BDA" w:rsidRDefault="00184BDA">
      <w:pPr>
        <w:spacing w:after="80"/>
      </w:pPr>
    </w:p>
    <w:p w14:paraId="28F32EEF" w14:textId="77777777" w:rsidR="00184BDA" w:rsidRDefault="00000000">
      <w:pPr>
        <w:spacing w:after="160"/>
        <w:jc w:val="both"/>
      </w:pPr>
      <w:r>
        <w:rPr>
          <w:color w:val="000000"/>
        </w:rPr>
        <w:t>Le choix d'Azure se justifie principalement par la continuité avec l'environnement Windows Server et Active Directory déjà en place : la migration de l'annuaire vers Azure AD (Entra ID) est native, ce qui minimise les compétences nouvelles à acquérir par l'équipe IT et réduit le risque projet. Cet argument de cohérence prime sur les différences tarifaires, marginales entre les trois acteurs pour un parc de cette taille.</w:t>
      </w:r>
    </w:p>
    <w:p w14:paraId="145C6071" w14:textId="77777777" w:rsidR="00184BDA" w:rsidRDefault="00000000">
      <w:pPr>
        <w:pStyle w:val="Titre1"/>
      </w:pPr>
      <w:bookmarkStart w:id="5" w:name="_Toc232158807"/>
      <w:r>
        <w:t>3. Architecture cible Azure</w:t>
      </w:r>
      <w:bookmarkEnd w:id="5"/>
    </w:p>
    <w:p w14:paraId="36EC8BD2" w14:textId="77777777" w:rsidR="00184BDA" w:rsidRDefault="00000000">
      <w:pPr>
        <w:spacing w:after="160"/>
        <w:jc w:val="both"/>
      </w:pPr>
      <w:r>
        <w:rPr>
          <w:color w:val="000000"/>
        </w:rPr>
        <w:t>L'architecture proposée transpose les composants de la maquette vers leurs équivalents managés Azure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000"/>
        <w:gridCol w:w="3426"/>
      </w:tblGrid>
      <w:tr w:rsidR="00184BDA" w14:paraId="123781AC" w14:textId="77777777">
        <w:tblPrEx>
          <w:tblCellMar>
            <w:top w:w="0" w:type="dxa"/>
            <w:bottom w:w="0" w:type="dxa"/>
          </w:tblCellMar>
        </w:tblPrEx>
        <w:trPr>
          <w:tblHeader/>
        </w:trPr>
        <w:tc>
          <w:tcPr>
            <w:tcW w:w="26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2BBCB6AE" w14:textId="77777777" w:rsidR="00184BDA" w:rsidRDefault="00000000">
            <w:r>
              <w:rPr>
                <w:b/>
                <w:bCs/>
                <w:color w:val="FFFFFF"/>
                <w:sz w:val="20"/>
                <w:szCs w:val="20"/>
              </w:rPr>
              <w:t>Composant actuel</w:t>
            </w:r>
          </w:p>
        </w:tc>
        <w:tc>
          <w:tcPr>
            <w:tcW w:w="30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01B8FE51" w14:textId="77777777" w:rsidR="00184BDA" w:rsidRDefault="00000000">
            <w:r>
              <w:rPr>
                <w:b/>
                <w:bCs/>
                <w:color w:val="FFFFFF"/>
                <w:sz w:val="20"/>
                <w:szCs w:val="20"/>
              </w:rPr>
              <w:t>Équivalent Azure</w:t>
            </w:r>
          </w:p>
        </w:tc>
        <w:tc>
          <w:tcPr>
            <w:tcW w:w="3426"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31011962" w14:textId="77777777" w:rsidR="00184BDA" w:rsidRDefault="00000000">
            <w:r>
              <w:rPr>
                <w:b/>
                <w:bCs/>
                <w:color w:val="FFFFFF"/>
                <w:sz w:val="20"/>
                <w:szCs w:val="20"/>
              </w:rPr>
              <w:t>Rôle</w:t>
            </w:r>
          </w:p>
        </w:tc>
      </w:tr>
      <w:tr w:rsidR="00184BDA" w14:paraId="025D4083"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6766F62" w14:textId="77777777" w:rsidR="00184BDA" w:rsidRDefault="00000000">
            <w:r>
              <w:rPr>
                <w:color w:val="000000"/>
                <w:sz w:val="20"/>
                <w:szCs w:val="20"/>
              </w:rPr>
              <w:t>SRV-YMMO (AD)</w:t>
            </w:r>
          </w:p>
        </w:tc>
        <w:tc>
          <w:tcPr>
            <w:tcW w:w="3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89C02E1" w14:textId="77777777" w:rsidR="00184BDA" w:rsidRDefault="00000000">
            <w:r>
              <w:rPr>
                <w:color w:val="000000"/>
                <w:sz w:val="20"/>
                <w:szCs w:val="20"/>
              </w:rPr>
              <w:t>Azure AD (Entra ID) + Azure AD DS</w:t>
            </w:r>
          </w:p>
        </w:tc>
        <w:tc>
          <w:tcPr>
            <w:tcW w:w="34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4274A61" w14:textId="77777777" w:rsidR="00184BDA" w:rsidRDefault="00000000">
            <w:r>
              <w:rPr>
                <w:color w:val="000000"/>
                <w:sz w:val="20"/>
                <w:szCs w:val="20"/>
              </w:rPr>
              <w:t>Annuaire, authentification, GPO managées</w:t>
            </w:r>
          </w:p>
        </w:tc>
      </w:tr>
      <w:tr w:rsidR="00184BDA" w14:paraId="10E3E6D1"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4E8089D3" w14:textId="77777777" w:rsidR="00184BDA" w:rsidRDefault="00000000">
            <w:r>
              <w:rPr>
                <w:color w:val="000000"/>
                <w:sz w:val="20"/>
                <w:szCs w:val="20"/>
              </w:rPr>
              <w:t>SRV-WEB (Node.js)</w:t>
            </w:r>
          </w:p>
        </w:tc>
        <w:tc>
          <w:tcPr>
            <w:tcW w:w="30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34345240" w14:textId="77777777" w:rsidR="00184BDA" w:rsidRDefault="00000000">
            <w:r>
              <w:rPr>
                <w:color w:val="000000"/>
                <w:sz w:val="20"/>
                <w:szCs w:val="20"/>
              </w:rPr>
              <w:t>Azure App Service</w:t>
            </w:r>
          </w:p>
        </w:tc>
        <w:tc>
          <w:tcPr>
            <w:tcW w:w="3426"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56442FA0" w14:textId="77777777" w:rsidR="00184BDA" w:rsidRDefault="00000000">
            <w:r>
              <w:rPr>
                <w:color w:val="000000"/>
                <w:sz w:val="20"/>
                <w:szCs w:val="20"/>
              </w:rPr>
              <w:t>Hébergement de l'application web managé</w:t>
            </w:r>
          </w:p>
        </w:tc>
      </w:tr>
      <w:tr w:rsidR="00184BDA" w14:paraId="116F909E"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21AA3AA" w14:textId="77777777" w:rsidR="00184BDA" w:rsidRDefault="00000000">
            <w:r>
              <w:rPr>
                <w:color w:val="000000"/>
                <w:sz w:val="20"/>
                <w:szCs w:val="20"/>
              </w:rPr>
              <w:t>Base MySQL</w:t>
            </w:r>
          </w:p>
        </w:tc>
        <w:tc>
          <w:tcPr>
            <w:tcW w:w="3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3056C07" w14:textId="77777777" w:rsidR="00184BDA" w:rsidRDefault="00000000">
            <w:r>
              <w:rPr>
                <w:color w:val="000000"/>
                <w:sz w:val="20"/>
                <w:szCs w:val="20"/>
              </w:rPr>
              <w:t xml:space="preserve">Azure </w:t>
            </w:r>
            <w:proofErr w:type="spellStart"/>
            <w:r>
              <w:rPr>
                <w:color w:val="000000"/>
                <w:sz w:val="20"/>
                <w:szCs w:val="20"/>
              </w:rPr>
              <w:t>Database</w:t>
            </w:r>
            <w:proofErr w:type="spellEnd"/>
            <w:r>
              <w:rPr>
                <w:color w:val="000000"/>
                <w:sz w:val="20"/>
                <w:szCs w:val="20"/>
              </w:rPr>
              <w:t xml:space="preserve"> for MySQL</w:t>
            </w:r>
          </w:p>
        </w:tc>
        <w:tc>
          <w:tcPr>
            <w:tcW w:w="34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20E1605" w14:textId="77777777" w:rsidR="00184BDA" w:rsidRDefault="00000000">
            <w:r>
              <w:rPr>
                <w:color w:val="000000"/>
                <w:sz w:val="20"/>
                <w:szCs w:val="20"/>
              </w:rPr>
              <w:t>Base de données managée, sauvegardée</w:t>
            </w:r>
          </w:p>
        </w:tc>
      </w:tr>
      <w:tr w:rsidR="00184BDA" w14:paraId="5C64AFCE"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000BA5DD" w14:textId="77777777" w:rsidR="00184BDA" w:rsidRDefault="00000000">
            <w:r>
              <w:rPr>
                <w:color w:val="000000"/>
                <w:sz w:val="20"/>
                <w:szCs w:val="20"/>
              </w:rPr>
              <w:t>Dossiers partagés</w:t>
            </w:r>
          </w:p>
        </w:tc>
        <w:tc>
          <w:tcPr>
            <w:tcW w:w="30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59E6C60E" w14:textId="77777777" w:rsidR="00184BDA" w:rsidRDefault="00000000">
            <w:r>
              <w:rPr>
                <w:color w:val="000000"/>
                <w:sz w:val="20"/>
                <w:szCs w:val="20"/>
              </w:rPr>
              <w:t>Azure Files</w:t>
            </w:r>
          </w:p>
        </w:tc>
        <w:tc>
          <w:tcPr>
            <w:tcW w:w="3426"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0548FED4" w14:textId="77777777" w:rsidR="00184BDA" w:rsidRDefault="00000000">
            <w:r>
              <w:rPr>
                <w:color w:val="000000"/>
                <w:sz w:val="20"/>
                <w:szCs w:val="20"/>
              </w:rPr>
              <w:t>Partages de fichiers SMB dans le cloud</w:t>
            </w:r>
          </w:p>
        </w:tc>
      </w:tr>
      <w:tr w:rsidR="00184BDA" w14:paraId="62D3A13D"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DB952CC" w14:textId="77777777" w:rsidR="00184BDA" w:rsidRDefault="00000000">
            <w:proofErr w:type="spellStart"/>
            <w:proofErr w:type="gramStart"/>
            <w:r>
              <w:rPr>
                <w:color w:val="000000"/>
                <w:sz w:val="20"/>
                <w:szCs w:val="20"/>
              </w:rPr>
              <w:t>pfSense</w:t>
            </w:r>
            <w:proofErr w:type="spellEnd"/>
            <w:proofErr w:type="gramEnd"/>
          </w:p>
        </w:tc>
        <w:tc>
          <w:tcPr>
            <w:tcW w:w="3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9AA113B" w14:textId="77777777" w:rsidR="00184BDA" w:rsidRDefault="00000000">
            <w:r>
              <w:rPr>
                <w:color w:val="000000"/>
                <w:sz w:val="20"/>
                <w:szCs w:val="20"/>
              </w:rPr>
              <w:t>Azure Firewall + NSG</w:t>
            </w:r>
          </w:p>
        </w:tc>
        <w:tc>
          <w:tcPr>
            <w:tcW w:w="34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C63FC52" w14:textId="77777777" w:rsidR="00184BDA" w:rsidRDefault="00000000">
            <w:r>
              <w:rPr>
                <w:color w:val="000000"/>
                <w:sz w:val="20"/>
                <w:szCs w:val="20"/>
              </w:rPr>
              <w:t>Filtrage, segmentation réseau</w:t>
            </w:r>
          </w:p>
        </w:tc>
      </w:tr>
      <w:tr w:rsidR="00184BDA" w14:paraId="5ED1D129"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6BDD9DFD" w14:textId="77777777" w:rsidR="00184BDA" w:rsidRDefault="00000000">
            <w:r>
              <w:rPr>
                <w:color w:val="000000"/>
                <w:sz w:val="20"/>
                <w:szCs w:val="20"/>
              </w:rPr>
              <w:t>VPN siège-agences</w:t>
            </w:r>
          </w:p>
        </w:tc>
        <w:tc>
          <w:tcPr>
            <w:tcW w:w="30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3002E447" w14:textId="77777777" w:rsidR="00184BDA" w:rsidRDefault="00000000">
            <w:r>
              <w:rPr>
                <w:color w:val="000000"/>
                <w:sz w:val="20"/>
                <w:szCs w:val="20"/>
              </w:rPr>
              <w:t>Azure VPN Gateway</w:t>
            </w:r>
          </w:p>
        </w:tc>
        <w:tc>
          <w:tcPr>
            <w:tcW w:w="3426"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79FC4AE3" w14:textId="77777777" w:rsidR="00184BDA" w:rsidRDefault="00000000">
            <w:r>
              <w:rPr>
                <w:color w:val="000000"/>
                <w:sz w:val="20"/>
                <w:szCs w:val="20"/>
              </w:rPr>
              <w:t>Tunnels site à site vers chaque agence</w:t>
            </w:r>
          </w:p>
        </w:tc>
      </w:tr>
      <w:tr w:rsidR="00184BDA" w14:paraId="420EFA67"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25204E9" w14:textId="77777777" w:rsidR="00184BDA" w:rsidRDefault="00000000">
            <w:r>
              <w:rPr>
                <w:color w:val="000000"/>
                <w:sz w:val="20"/>
                <w:szCs w:val="20"/>
              </w:rPr>
              <w:t>Sauvegardes</w:t>
            </w:r>
          </w:p>
        </w:tc>
        <w:tc>
          <w:tcPr>
            <w:tcW w:w="3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F933185" w14:textId="77777777" w:rsidR="00184BDA" w:rsidRDefault="00000000">
            <w:r>
              <w:rPr>
                <w:color w:val="000000"/>
                <w:sz w:val="20"/>
                <w:szCs w:val="20"/>
              </w:rPr>
              <w:t>Azure Backup</w:t>
            </w:r>
          </w:p>
        </w:tc>
        <w:tc>
          <w:tcPr>
            <w:tcW w:w="34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CDF6AC0" w14:textId="77777777" w:rsidR="00184BDA" w:rsidRDefault="00000000">
            <w:r>
              <w:rPr>
                <w:color w:val="000000"/>
                <w:sz w:val="20"/>
                <w:szCs w:val="20"/>
              </w:rPr>
              <w:t>Sauvegarde automatisée, rétention configurable</w:t>
            </w:r>
          </w:p>
        </w:tc>
      </w:tr>
    </w:tbl>
    <w:p w14:paraId="53A9132A" w14:textId="77777777" w:rsidR="00184BDA" w:rsidRDefault="00184BDA">
      <w:pPr>
        <w:spacing w:after="80"/>
      </w:pPr>
    </w:p>
    <w:p w14:paraId="1851129E" w14:textId="77777777" w:rsidR="00184BDA" w:rsidRDefault="00000000">
      <w:pPr>
        <w:spacing w:after="160"/>
        <w:jc w:val="both"/>
      </w:pPr>
      <w:r>
        <w:rPr>
          <w:i/>
          <w:iCs/>
          <w:color w:val="000000"/>
        </w:rPr>
        <w:lastRenderedPageBreak/>
        <w:t>Les agences se connectent au réseau virtuel Azure (</w:t>
      </w:r>
      <w:proofErr w:type="spellStart"/>
      <w:r>
        <w:rPr>
          <w:i/>
          <w:iCs/>
          <w:color w:val="000000"/>
        </w:rPr>
        <w:t>VNet</w:t>
      </w:r>
      <w:proofErr w:type="spellEnd"/>
      <w:r>
        <w:rPr>
          <w:i/>
          <w:iCs/>
          <w:color w:val="000000"/>
        </w:rPr>
        <w:t>) via des tunnels VPN site à site, exactement comme elles se connectaient au siège — mais la ressource centrale n'est plus un serveur physique unique, elle est répartie et hautement disponible.</w:t>
      </w:r>
    </w:p>
    <w:p w14:paraId="64C041BA" w14:textId="262A9499" w:rsidR="00184BDA" w:rsidRDefault="00184BDA"/>
    <w:p w14:paraId="1564AD6F" w14:textId="77777777" w:rsidR="00ED6E87" w:rsidRDefault="00ED6E87"/>
    <w:p w14:paraId="3EA66F36" w14:textId="77777777" w:rsidR="00184BDA" w:rsidRDefault="00000000">
      <w:pPr>
        <w:pStyle w:val="Titre1"/>
      </w:pPr>
      <w:bookmarkStart w:id="6" w:name="_Toc232158808"/>
      <w:r>
        <w:t>4. Estimation budgétaire</w:t>
      </w:r>
      <w:bookmarkEnd w:id="6"/>
    </w:p>
    <w:p w14:paraId="12054103" w14:textId="77777777" w:rsidR="00184BDA" w:rsidRDefault="00000000">
      <w:pPr>
        <w:spacing w:after="160"/>
        <w:jc w:val="both"/>
      </w:pPr>
      <w:r>
        <w:rPr>
          <w:color w:val="000000"/>
        </w:rPr>
        <w:t xml:space="preserve">L'estimation suivante correspond à un dimensionnement adapté à </w:t>
      </w:r>
      <w:proofErr w:type="spellStart"/>
      <w:r>
        <w:rPr>
          <w:color w:val="000000"/>
        </w:rPr>
        <w:t>Ymmo</w:t>
      </w:r>
      <w:proofErr w:type="spellEnd"/>
      <w:r>
        <w:rPr>
          <w:color w:val="000000"/>
        </w:rPr>
        <w:t xml:space="preserve"> (parc d'environ 90 utilisateurs, une application web, une base de données de taille modérée). Les montants sont indicatifs, basés sur les tarifs publics Azure de la région France Centre, et doivent être affinés avec un partenaire Microsoft.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3200"/>
        <w:gridCol w:w="2426"/>
      </w:tblGrid>
      <w:tr w:rsidR="00184BDA" w14:paraId="05687231" w14:textId="77777777">
        <w:tblPrEx>
          <w:tblCellMar>
            <w:top w:w="0" w:type="dxa"/>
            <w:bottom w:w="0" w:type="dxa"/>
          </w:tblCellMar>
        </w:tblPrEx>
        <w:trPr>
          <w:tblHeader/>
        </w:trPr>
        <w:tc>
          <w:tcPr>
            <w:tcW w:w="34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6E9BD41F" w14:textId="77777777" w:rsidR="00184BDA" w:rsidRDefault="00000000">
            <w:r>
              <w:rPr>
                <w:b/>
                <w:bCs/>
                <w:color w:val="FFFFFF"/>
                <w:sz w:val="20"/>
                <w:szCs w:val="20"/>
              </w:rPr>
              <w:t>Service Azure</w:t>
            </w:r>
          </w:p>
        </w:tc>
        <w:tc>
          <w:tcPr>
            <w:tcW w:w="32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6B25A6C4" w14:textId="77777777" w:rsidR="00184BDA" w:rsidRDefault="00000000">
            <w:r>
              <w:rPr>
                <w:b/>
                <w:bCs/>
                <w:color w:val="FFFFFF"/>
                <w:sz w:val="20"/>
                <w:szCs w:val="20"/>
              </w:rPr>
              <w:t>Configuration</w:t>
            </w:r>
          </w:p>
        </w:tc>
        <w:tc>
          <w:tcPr>
            <w:tcW w:w="2426"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1E7B90A3" w14:textId="77777777" w:rsidR="00184BDA" w:rsidRDefault="00000000">
            <w:r>
              <w:rPr>
                <w:b/>
                <w:bCs/>
                <w:color w:val="FFFFFF"/>
                <w:sz w:val="20"/>
                <w:szCs w:val="20"/>
              </w:rPr>
              <w:t>Coût mensuel estimé</w:t>
            </w:r>
          </w:p>
        </w:tc>
      </w:tr>
      <w:tr w:rsidR="00184BDA" w14:paraId="1B205996" w14:textId="77777777">
        <w:tblPrEx>
          <w:tblCellMar>
            <w:top w:w="0" w:type="dxa"/>
            <w:bottom w:w="0" w:type="dxa"/>
          </w:tblCellMar>
        </w:tblPrEx>
        <w:tc>
          <w:tcPr>
            <w:tcW w:w="3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2F18564" w14:textId="77777777" w:rsidR="00184BDA" w:rsidRDefault="00000000">
            <w:r>
              <w:rPr>
                <w:color w:val="000000"/>
                <w:sz w:val="20"/>
                <w:szCs w:val="20"/>
              </w:rPr>
              <w:t>Azure AD (Entra ID) P1</w:t>
            </w:r>
          </w:p>
        </w:tc>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696FAA9" w14:textId="77777777" w:rsidR="00184BDA" w:rsidRDefault="00000000">
            <w:r>
              <w:rPr>
                <w:color w:val="000000"/>
                <w:sz w:val="20"/>
                <w:szCs w:val="20"/>
              </w:rPr>
              <w:t>90 utilisateurs</w:t>
            </w:r>
          </w:p>
        </w:tc>
        <w:tc>
          <w:tcPr>
            <w:tcW w:w="24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91AFB1C" w14:textId="77777777" w:rsidR="00184BDA" w:rsidRDefault="00000000">
            <w:r>
              <w:rPr>
                <w:color w:val="000000"/>
                <w:sz w:val="20"/>
                <w:szCs w:val="20"/>
              </w:rPr>
              <w:t>~ 540 €</w:t>
            </w:r>
          </w:p>
        </w:tc>
      </w:tr>
      <w:tr w:rsidR="00184BDA" w14:paraId="7AE63FE6" w14:textId="77777777">
        <w:tblPrEx>
          <w:tblCellMar>
            <w:top w:w="0" w:type="dxa"/>
            <w:bottom w:w="0" w:type="dxa"/>
          </w:tblCellMar>
        </w:tblPrEx>
        <w:tc>
          <w:tcPr>
            <w:tcW w:w="34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43197F12" w14:textId="77777777" w:rsidR="00184BDA" w:rsidRDefault="00000000">
            <w:r>
              <w:rPr>
                <w:color w:val="000000"/>
                <w:sz w:val="20"/>
                <w:szCs w:val="20"/>
              </w:rPr>
              <w:t>Azure App Service</w:t>
            </w:r>
          </w:p>
        </w:tc>
        <w:tc>
          <w:tcPr>
            <w:tcW w:w="32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442CBC7E" w14:textId="77777777" w:rsidR="00184BDA" w:rsidRDefault="00000000">
            <w:r>
              <w:rPr>
                <w:color w:val="000000"/>
                <w:sz w:val="20"/>
                <w:szCs w:val="20"/>
              </w:rPr>
              <w:t>Plan Standard S1</w:t>
            </w:r>
          </w:p>
        </w:tc>
        <w:tc>
          <w:tcPr>
            <w:tcW w:w="2426"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0347F748" w14:textId="77777777" w:rsidR="00184BDA" w:rsidRDefault="00000000">
            <w:r>
              <w:rPr>
                <w:color w:val="000000"/>
                <w:sz w:val="20"/>
                <w:szCs w:val="20"/>
              </w:rPr>
              <w:t>~ 65 €</w:t>
            </w:r>
          </w:p>
        </w:tc>
      </w:tr>
      <w:tr w:rsidR="00184BDA" w14:paraId="6DB73020" w14:textId="77777777">
        <w:tblPrEx>
          <w:tblCellMar>
            <w:top w:w="0" w:type="dxa"/>
            <w:bottom w:w="0" w:type="dxa"/>
          </w:tblCellMar>
        </w:tblPrEx>
        <w:tc>
          <w:tcPr>
            <w:tcW w:w="3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E2E43FB" w14:textId="77777777" w:rsidR="00184BDA" w:rsidRDefault="00000000">
            <w:r>
              <w:rPr>
                <w:color w:val="000000"/>
                <w:sz w:val="20"/>
                <w:szCs w:val="20"/>
              </w:rPr>
              <w:t xml:space="preserve">Azure </w:t>
            </w:r>
            <w:proofErr w:type="spellStart"/>
            <w:r>
              <w:rPr>
                <w:color w:val="000000"/>
                <w:sz w:val="20"/>
                <w:szCs w:val="20"/>
              </w:rPr>
              <w:t>Database</w:t>
            </w:r>
            <w:proofErr w:type="spellEnd"/>
            <w:r>
              <w:rPr>
                <w:color w:val="000000"/>
                <w:sz w:val="20"/>
                <w:szCs w:val="20"/>
              </w:rPr>
              <w:t xml:space="preserve"> for MySQL</w:t>
            </w:r>
          </w:p>
        </w:tc>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FF2D476" w14:textId="77777777" w:rsidR="00184BDA" w:rsidRDefault="00000000">
            <w:r>
              <w:rPr>
                <w:color w:val="000000"/>
                <w:sz w:val="20"/>
                <w:szCs w:val="20"/>
              </w:rPr>
              <w:t xml:space="preserve">Usage général, 2 </w:t>
            </w:r>
            <w:proofErr w:type="spellStart"/>
            <w:r>
              <w:rPr>
                <w:color w:val="000000"/>
                <w:sz w:val="20"/>
                <w:szCs w:val="20"/>
              </w:rPr>
              <w:t>vCore</w:t>
            </w:r>
            <w:proofErr w:type="spellEnd"/>
          </w:p>
        </w:tc>
        <w:tc>
          <w:tcPr>
            <w:tcW w:w="24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1CDC2CE" w14:textId="77777777" w:rsidR="00184BDA" w:rsidRDefault="00000000">
            <w:r>
              <w:rPr>
                <w:color w:val="000000"/>
                <w:sz w:val="20"/>
                <w:szCs w:val="20"/>
              </w:rPr>
              <w:t>~ 130 €</w:t>
            </w:r>
          </w:p>
        </w:tc>
      </w:tr>
      <w:tr w:rsidR="00184BDA" w14:paraId="6B0BAE63" w14:textId="77777777">
        <w:tblPrEx>
          <w:tblCellMar>
            <w:top w:w="0" w:type="dxa"/>
            <w:bottom w:w="0" w:type="dxa"/>
          </w:tblCellMar>
        </w:tblPrEx>
        <w:tc>
          <w:tcPr>
            <w:tcW w:w="34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27BE2CEB" w14:textId="77777777" w:rsidR="00184BDA" w:rsidRDefault="00000000">
            <w:r>
              <w:rPr>
                <w:color w:val="000000"/>
                <w:sz w:val="20"/>
                <w:szCs w:val="20"/>
              </w:rPr>
              <w:t>Azure Files</w:t>
            </w:r>
          </w:p>
        </w:tc>
        <w:tc>
          <w:tcPr>
            <w:tcW w:w="32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45CDFF6C" w14:textId="77777777" w:rsidR="00184BDA" w:rsidRDefault="00000000">
            <w:r>
              <w:rPr>
                <w:color w:val="000000"/>
                <w:sz w:val="20"/>
                <w:szCs w:val="20"/>
              </w:rPr>
              <w:t>1 To, redondance locale</w:t>
            </w:r>
          </w:p>
        </w:tc>
        <w:tc>
          <w:tcPr>
            <w:tcW w:w="2426"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0ACCBA17" w14:textId="77777777" w:rsidR="00184BDA" w:rsidRDefault="00000000">
            <w:r>
              <w:rPr>
                <w:color w:val="000000"/>
                <w:sz w:val="20"/>
                <w:szCs w:val="20"/>
              </w:rPr>
              <w:t>~ 55 €</w:t>
            </w:r>
          </w:p>
        </w:tc>
      </w:tr>
      <w:tr w:rsidR="00184BDA" w14:paraId="55D21619" w14:textId="77777777">
        <w:tblPrEx>
          <w:tblCellMar>
            <w:top w:w="0" w:type="dxa"/>
            <w:bottom w:w="0" w:type="dxa"/>
          </w:tblCellMar>
        </w:tblPrEx>
        <w:tc>
          <w:tcPr>
            <w:tcW w:w="3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A2E0859" w14:textId="77777777" w:rsidR="00184BDA" w:rsidRDefault="00000000">
            <w:r>
              <w:rPr>
                <w:color w:val="000000"/>
                <w:sz w:val="20"/>
                <w:szCs w:val="20"/>
              </w:rPr>
              <w:t>Azure VPN Gateway</w:t>
            </w:r>
          </w:p>
        </w:tc>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30305E4" w14:textId="77777777" w:rsidR="00184BDA" w:rsidRDefault="00000000">
            <w:r>
              <w:rPr>
                <w:color w:val="000000"/>
                <w:sz w:val="20"/>
                <w:szCs w:val="20"/>
              </w:rPr>
              <w:t>VpnGw1, 12 tunnels</w:t>
            </w:r>
          </w:p>
        </w:tc>
        <w:tc>
          <w:tcPr>
            <w:tcW w:w="24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605C135" w14:textId="77777777" w:rsidR="00184BDA" w:rsidRDefault="00000000">
            <w:r>
              <w:rPr>
                <w:color w:val="000000"/>
                <w:sz w:val="20"/>
                <w:szCs w:val="20"/>
              </w:rPr>
              <w:t>~ 140 €</w:t>
            </w:r>
          </w:p>
        </w:tc>
      </w:tr>
      <w:tr w:rsidR="00184BDA" w14:paraId="5D254F0E" w14:textId="77777777">
        <w:tblPrEx>
          <w:tblCellMar>
            <w:top w:w="0" w:type="dxa"/>
            <w:bottom w:w="0" w:type="dxa"/>
          </w:tblCellMar>
        </w:tblPrEx>
        <w:tc>
          <w:tcPr>
            <w:tcW w:w="34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77A6A30E" w14:textId="77777777" w:rsidR="00184BDA" w:rsidRDefault="00000000">
            <w:r>
              <w:rPr>
                <w:color w:val="000000"/>
                <w:sz w:val="20"/>
                <w:szCs w:val="20"/>
              </w:rPr>
              <w:t>Azure Backup</w:t>
            </w:r>
          </w:p>
        </w:tc>
        <w:tc>
          <w:tcPr>
            <w:tcW w:w="32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4ECA5874" w14:textId="77777777" w:rsidR="00184BDA" w:rsidRDefault="00000000">
            <w:r>
              <w:rPr>
                <w:color w:val="000000"/>
                <w:sz w:val="20"/>
                <w:szCs w:val="20"/>
              </w:rPr>
              <w:t>Rétention 30 jours</w:t>
            </w:r>
          </w:p>
        </w:tc>
        <w:tc>
          <w:tcPr>
            <w:tcW w:w="2426"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43B04A75" w14:textId="77777777" w:rsidR="00184BDA" w:rsidRDefault="00000000">
            <w:r>
              <w:rPr>
                <w:color w:val="000000"/>
                <w:sz w:val="20"/>
                <w:szCs w:val="20"/>
              </w:rPr>
              <w:t>~ 50 €</w:t>
            </w:r>
          </w:p>
        </w:tc>
      </w:tr>
      <w:tr w:rsidR="00184BDA" w14:paraId="5518D04F" w14:textId="77777777">
        <w:tblPrEx>
          <w:tblCellMar>
            <w:top w:w="0" w:type="dxa"/>
            <w:bottom w:w="0" w:type="dxa"/>
          </w:tblCellMar>
        </w:tblPrEx>
        <w:tc>
          <w:tcPr>
            <w:tcW w:w="3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B56C325" w14:textId="77777777" w:rsidR="00184BDA" w:rsidRDefault="00000000">
            <w:r>
              <w:rPr>
                <w:color w:val="000000"/>
                <w:sz w:val="20"/>
                <w:szCs w:val="20"/>
              </w:rPr>
              <w:t>Azure Firewall</w:t>
            </w:r>
          </w:p>
        </w:tc>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A895455" w14:textId="77777777" w:rsidR="00184BDA" w:rsidRDefault="00000000">
            <w:r>
              <w:rPr>
                <w:color w:val="000000"/>
                <w:sz w:val="20"/>
                <w:szCs w:val="20"/>
              </w:rPr>
              <w:t>Standard</w:t>
            </w:r>
          </w:p>
        </w:tc>
        <w:tc>
          <w:tcPr>
            <w:tcW w:w="24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1751E51" w14:textId="77777777" w:rsidR="00184BDA" w:rsidRDefault="00000000">
            <w:r>
              <w:rPr>
                <w:color w:val="000000"/>
                <w:sz w:val="20"/>
                <w:szCs w:val="20"/>
              </w:rPr>
              <w:t>~ 850 €</w:t>
            </w:r>
          </w:p>
        </w:tc>
      </w:tr>
    </w:tbl>
    <w:p w14:paraId="33FC3A18" w14:textId="77777777" w:rsidR="00184BDA" w:rsidRDefault="00184BDA">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3200"/>
        <w:gridCol w:w="2426"/>
      </w:tblGrid>
      <w:tr w:rsidR="00184BDA" w14:paraId="1B770B80" w14:textId="77777777">
        <w:tblPrEx>
          <w:tblCellMar>
            <w:top w:w="0" w:type="dxa"/>
            <w:bottom w:w="0" w:type="dxa"/>
          </w:tblCellMar>
        </w:tblPrEx>
        <w:trPr>
          <w:tblHeader/>
        </w:trPr>
        <w:tc>
          <w:tcPr>
            <w:tcW w:w="34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6E4D8AED" w14:textId="77777777" w:rsidR="00184BDA" w:rsidRDefault="00184BDA"/>
        </w:tc>
        <w:tc>
          <w:tcPr>
            <w:tcW w:w="32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2FD788A1" w14:textId="77777777" w:rsidR="00184BDA" w:rsidRDefault="00000000">
            <w:r>
              <w:rPr>
                <w:b/>
                <w:bCs/>
                <w:color w:val="FFFFFF"/>
                <w:sz w:val="20"/>
                <w:szCs w:val="20"/>
              </w:rPr>
              <w:t>Total mensuel estimé</w:t>
            </w:r>
          </w:p>
        </w:tc>
        <w:tc>
          <w:tcPr>
            <w:tcW w:w="2426"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7AA15CEE" w14:textId="77777777" w:rsidR="00184BDA" w:rsidRDefault="00000000">
            <w:r>
              <w:rPr>
                <w:b/>
                <w:bCs/>
                <w:color w:val="FFFFFF"/>
                <w:sz w:val="20"/>
                <w:szCs w:val="20"/>
              </w:rPr>
              <w:t>Total annuel estimé</w:t>
            </w:r>
          </w:p>
        </w:tc>
      </w:tr>
      <w:tr w:rsidR="00184BDA" w14:paraId="3BE77BEA" w14:textId="77777777">
        <w:tblPrEx>
          <w:tblCellMar>
            <w:top w:w="0" w:type="dxa"/>
            <w:bottom w:w="0" w:type="dxa"/>
          </w:tblCellMar>
        </w:tblPrEx>
        <w:tc>
          <w:tcPr>
            <w:tcW w:w="3400" w:type="dxa"/>
            <w:tcBorders>
              <w:top w:val="single" w:sz="1" w:space="0" w:color="BBBBBB"/>
              <w:left w:val="single" w:sz="1" w:space="0" w:color="BBBBBB"/>
              <w:bottom w:val="single" w:sz="1" w:space="0" w:color="BBBBBB"/>
              <w:right w:val="single" w:sz="1" w:space="0" w:color="BBBBBB"/>
            </w:tcBorders>
            <w:shd w:val="clear" w:color="auto" w:fill="E2EFDA"/>
            <w:tcMar>
              <w:top w:w="80" w:type="dxa"/>
              <w:left w:w="120" w:type="dxa"/>
              <w:bottom w:w="80" w:type="dxa"/>
              <w:right w:w="120" w:type="dxa"/>
            </w:tcMar>
          </w:tcPr>
          <w:p w14:paraId="4100FCD9" w14:textId="77777777" w:rsidR="00184BDA" w:rsidRDefault="00000000">
            <w:r>
              <w:rPr>
                <w:color w:val="000000"/>
                <w:sz w:val="20"/>
                <w:szCs w:val="20"/>
              </w:rPr>
              <w:t>Hypothèse de coût</w:t>
            </w:r>
          </w:p>
        </w:tc>
        <w:tc>
          <w:tcPr>
            <w:tcW w:w="3200" w:type="dxa"/>
            <w:tcBorders>
              <w:top w:val="single" w:sz="1" w:space="0" w:color="BBBBBB"/>
              <w:left w:val="single" w:sz="1" w:space="0" w:color="BBBBBB"/>
              <w:bottom w:val="single" w:sz="1" w:space="0" w:color="BBBBBB"/>
              <w:right w:val="single" w:sz="1" w:space="0" w:color="BBBBBB"/>
            </w:tcBorders>
            <w:shd w:val="clear" w:color="auto" w:fill="E2EFDA"/>
            <w:tcMar>
              <w:top w:w="80" w:type="dxa"/>
              <w:left w:w="120" w:type="dxa"/>
              <w:bottom w:w="80" w:type="dxa"/>
              <w:right w:w="120" w:type="dxa"/>
            </w:tcMar>
          </w:tcPr>
          <w:p w14:paraId="5DF0F862" w14:textId="77777777" w:rsidR="00184BDA" w:rsidRDefault="00000000">
            <w:r>
              <w:rPr>
                <w:color w:val="000000"/>
                <w:sz w:val="20"/>
                <w:szCs w:val="20"/>
              </w:rPr>
              <w:t>~ 1 830 €</w:t>
            </w:r>
          </w:p>
        </w:tc>
        <w:tc>
          <w:tcPr>
            <w:tcW w:w="2426" w:type="dxa"/>
            <w:tcBorders>
              <w:top w:val="single" w:sz="1" w:space="0" w:color="BBBBBB"/>
              <w:left w:val="single" w:sz="1" w:space="0" w:color="BBBBBB"/>
              <w:bottom w:val="single" w:sz="1" w:space="0" w:color="BBBBBB"/>
              <w:right w:val="single" w:sz="1" w:space="0" w:color="BBBBBB"/>
            </w:tcBorders>
            <w:shd w:val="clear" w:color="auto" w:fill="E2EFDA"/>
            <w:tcMar>
              <w:top w:w="80" w:type="dxa"/>
              <w:left w:w="120" w:type="dxa"/>
              <w:bottom w:w="80" w:type="dxa"/>
              <w:right w:w="120" w:type="dxa"/>
            </w:tcMar>
          </w:tcPr>
          <w:p w14:paraId="0075A27E" w14:textId="77777777" w:rsidR="00184BDA" w:rsidRDefault="00000000">
            <w:r>
              <w:rPr>
                <w:color w:val="000000"/>
                <w:sz w:val="20"/>
                <w:szCs w:val="20"/>
              </w:rPr>
              <w:t>~ 22 000 €</w:t>
            </w:r>
          </w:p>
        </w:tc>
      </w:tr>
    </w:tbl>
    <w:p w14:paraId="3A898611" w14:textId="77777777" w:rsidR="00184BDA" w:rsidRDefault="00184BDA">
      <w:pPr>
        <w:spacing w:after="80"/>
      </w:pPr>
    </w:p>
    <w:p w14:paraId="48E9191C" w14:textId="77777777" w:rsidR="00184BDA" w:rsidRDefault="00000000">
      <w:pPr>
        <w:spacing w:after="160"/>
        <w:jc w:val="both"/>
      </w:pPr>
      <w:r>
        <w:rPr>
          <w:i/>
          <w:iCs/>
          <w:color w:val="000000"/>
        </w:rPr>
        <w:t>À ce coût de fonctionnement s'ajoute un coût de projet ponctuel (migration, formation, accompagnement) estimé entre 8 000 € et 15 000 € selon le recours ou non à un prestataire. Le poste le plus lourd est Azure Firewall ; une alternative consiste à utiliser les groupes de sécurité réseau (NSG) seuls, moins coûteux mais moins riches fonctionnellement, ce qui ramènerait le total mensuel autour de 1 000 €.</w:t>
      </w:r>
    </w:p>
    <w:p w14:paraId="31752655" w14:textId="77777777" w:rsidR="00184BDA" w:rsidRDefault="00000000">
      <w:pPr>
        <w:pStyle w:val="Titre2"/>
      </w:pPr>
      <w:bookmarkStart w:id="7" w:name="_Toc232158809"/>
      <w:r>
        <w:t>4.1. Comparaison on-</w:t>
      </w:r>
      <w:proofErr w:type="spellStart"/>
      <w:r>
        <w:t>premise</w:t>
      </w:r>
      <w:proofErr w:type="spellEnd"/>
      <w:r>
        <w:t xml:space="preserve"> / cloud</w:t>
      </w:r>
      <w:bookmarkEnd w:id="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026"/>
      </w:tblGrid>
      <w:tr w:rsidR="00184BDA" w14:paraId="61B83258" w14:textId="77777777">
        <w:tblPrEx>
          <w:tblCellMar>
            <w:top w:w="0" w:type="dxa"/>
            <w:bottom w:w="0" w:type="dxa"/>
          </w:tblCellMar>
        </w:tblPrEx>
        <w:trPr>
          <w:tblHeader/>
        </w:trPr>
        <w:tc>
          <w:tcPr>
            <w:tcW w:w="28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764C5894" w14:textId="77777777" w:rsidR="00184BDA" w:rsidRDefault="00000000">
            <w:r>
              <w:rPr>
                <w:b/>
                <w:bCs/>
                <w:color w:val="FFFFFF"/>
                <w:sz w:val="20"/>
                <w:szCs w:val="20"/>
              </w:rPr>
              <w:t>Critère</w:t>
            </w:r>
          </w:p>
        </w:tc>
        <w:tc>
          <w:tcPr>
            <w:tcW w:w="32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69EF0D77" w14:textId="77777777" w:rsidR="00184BDA" w:rsidRDefault="00000000">
            <w:r>
              <w:rPr>
                <w:b/>
                <w:bCs/>
                <w:color w:val="FFFFFF"/>
                <w:sz w:val="20"/>
                <w:szCs w:val="20"/>
              </w:rPr>
              <w:t>On-</w:t>
            </w:r>
            <w:proofErr w:type="spellStart"/>
            <w:r>
              <w:rPr>
                <w:b/>
                <w:bCs/>
                <w:color w:val="FFFFFF"/>
                <w:sz w:val="20"/>
                <w:szCs w:val="20"/>
              </w:rPr>
              <w:t>premise</w:t>
            </w:r>
            <w:proofErr w:type="spellEnd"/>
            <w:r>
              <w:rPr>
                <w:b/>
                <w:bCs/>
                <w:color w:val="FFFFFF"/>
                <w:sz w:val="20"/>
                <w:szCs w:val="20"/>
              </w:rPr>
              <w:t xml:space="preserve"> (actuel)</w:t>
            </w:r>
          </w:p>
        </w:tc>
        <w:tc>
          <w:tcPr>
            <w:tcW w:w="3026"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12E4770F" w14:textId="77777777" w:rsidR="00184BDA" w:rsidRDefault="00000000">
            <w:r>
              <w:rPr>
                <w:b/>
                <w:bCs/>
                <w:color w:val="FFFFFF"/>
                <w:sz w:val="20"/>
                <w:szCs w:val="20"/>
              </w:rPr>
              <w:t>Cloud Azure</w:t>
            </w:r>
          </w:p>
        </w:tc>
      </w:tr>
      <w:tr w:rsidR="00184BDA" w14:paraId="755DCAF4"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2704723" w14:textId="77777777" w:rsidR="00184BDA" w:rsidRDefault="00000000">
            <w:r>
              <w:rPr>
                <w:color w:val="000000"/>
                <w:sz w:val="20"/>
                <w:szCs w:val="20"/>
              </w:rPr>
              <w:t>Investissement initial</w:t>
            </w:r>
          </w:p>
        </w:tc>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865FC81" w14:textId="77777777" w:rsidR="00184BDA" w:rsidRDefault="00000000">
            <w:r>
              <w:rPr>
                <w:color w:val="000000"/>
                <w:sz w:val="20"/>
                <w:szCs w:val="20"/>
              </w:rPr>
              <w:t>Élevé (achat serveurs)</w:t>
            </w:r>
          </w:p>
        </w:tc>
        <w:tc>
          <w:tcPr>
            <w:tcW w:w="3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B94C531" w14:textId="77777777" w:rsidR="00184BDA" w:rsidRDefault="00000000">
            <w:r>
              <w:rPr>
                <w:color w:val="000000"/>
                <w:sz w:val="20"/>
                <w:szCs w:val="20"/>
              </w:rPr>
              <w:t>Nul ou faible</w:t>
            </w:r>
          </w:p>
        </w:tc>
      </w:tr>
      <w:tr w:rsidR="00184BDA" w14:paraId="7FB3FE6F"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2A3FF0E5" w14:textId="77777777" w:rsidR="00184BDA" w:rsidRDefault="00000000">
            <w:r>
              <w:rPr>
                <w:color w:val="000000"/>
                <w:sz w:val="20"/>
                <w:szCs w:val="20"/>
              </w:rPr>
              <w:t>Coût récurrent</w:t>
            </w:r>
          </w:p>
        </w:tc>
        <w:tc>
          <w:tcPr>
            <w:tcW w:w="32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72095D93" w14:textId="77777777" w:rsidR="00184BDA" w:rsidRDefault="00000000">
            <w:r>
              <w:rPr>
                <w:color w:val="000000"/>
                <w:sz w:val="20"/>
                <w:szCs w:val="20"/>
              </w:rPr>
              <w:t>Faible (électricité, maintenance)</w:t>
            </w:r>
          </w:p>
        </w:tc>
        <w:tc>
          <w:tcPr>
            <w:tcW w:w="3026"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6C57CF2E" w14:textId="77777777" w:rsidR="00184BDA" w:rsidRDefault="00000000">
            <w:r>
              <w:rPr>
                <w:color w:val="000000"/>
                <w:sz w:val="20"/>
                <w:szCs w:val="20"/>
              </w:rPr>
              <w:t>Mensuel à l'usage</w:t>
            </w:r>
          </w:p>
        </w:tc>
      </w:tr>
      <w:tr w:rsidR="00184BDA" w14:paraId="5E2FAB5F"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734E9BA" w14:textId="77777777" w:rsidR="00184BDA" w:rsidRDefault="00000000">
            <w:r>
              <w:rPr>
                <w:color w:val="000000"/>
                <w:sz w:val="20"/>
                <w:szCs w:val="20"/>
              </w:rPr>
              <w:t>Disponibilité</w:t>
            </w:r>
          </w:p>
        </w:tc>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3F752B9" w14:textId="77777777" w:rsidR="00184BDA" w:rsidRDefault="00000000">
            <w:r>
              <w:rPr>
                <w:color w:val="000000"/>
                <w:sz w:val="20"/>
                <w:szCs w:val="20"/>
              </w:rPr>
              <w:t>Dépend du matériel local</w:t>
            </w:r>
          </w:p>
        </w:tc>
        <w:tc>
          <w:tcPr>
            <w:tcW w:w="3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22D47FE" w14:textId="77777777" w:rsidR="00184BDA" w:rsidRDefault="00000000">
            <w:r>
              <w:rPr>
                <w:color w:val="000000"/>
                <w:sz w:val="20"/>
                <w:szCs w:val="20"/>
              </w:rPr>
              <w:t>SLA 99,9 % et +</w:t>
            </w:r>
          </w:p>
        </w:tc>
      </w:tr>
      <w:tr w:rsidR="00184BDA" w14:paraId="43987867"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65CE3C04" w14:textId="77777777" w:rsidR="00184BDA" w:rsidRDefault="00000000">
            <w:r>
              <w:rPr>
                <w:color w:val="000000"/>
                <w:sz w:val="20"/>
                <w:szCs w:val="20"/>
              </w:rPr>
              <w:t>Évolutivité</w:t>
            </w:r>
          </w:p>
        </w:tc>
        <w:tc>
          <w:tcPr>
            <w:tcW w:w="32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33E163DC" w14:textId="77777777" w:rsidR="00184BDA" w:rsidRDefault="00000000">
            <w:r>
              <w:rPr>
                <w:color w:val="000000"/>
                <w:sz w:val="20"/>
                <w:szCs w:val="20"/>
              </w:rPr>
              <w:t>Achat de matériel</w:t>
            </w:r>
          </w:p>
        </w:tc>
        <w:tc>
          <w:tcPr>
            <w:tcW w:w="3026"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68C0B2CE" w14:textId="77777777" w:rsidR="00184BDA" w:rsidRDefault="00000000">
            <w:r>
              <w:rPr>
                <w:color w:val="000000"/>
                <w:sz w:val="20"/>
                <w:szCs w:val="20"/>
              </w:rPr>
              <w:t>Immédiate</w:t>
            </w:r>
          </w:p>
        </w:tc>
      </w:tr>
      <w:tr w:rsidR="00184BDA" w14:paraId="05C471F3"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B4FF304" w14:textId="77777777" w:rsidR="00184BDA" w:rsidRDefault="00000000">
            <w:r>
              <w:rPr>
                <w:color w:val="000000"/>
                <w:sz w:val="20"/>
                <w:szCs w:val="20"/>
              </w:rPr>
              <w:t>Maintenance matérielle</w:t>
            </w:r>
          </w:p>
        </w:tc>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52AB3FF" w14:textId="77777777" w:rsidR="00184BDA" w:rsidRDefault="00000000">
            <w:r>
              <w:rPr>
                <w:color w:val="000000"/>
                <w:sz w:val="20"/>
                <w:szCs w:val="20"/>
              </w:rPr>
              <w:t>Interne</w:t>
            </w:r>
          </w:p>
        </w:tc>
        <w:tc>
          <w:tcPr>
            <w:tcW w:w="3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2482BC8" w14:textId="77777777" w:rsidR="00184BDA" w:rsidRDefault="00000000">
            <w:r>
              <w:rPr>
                <w:color w:val="000000"/>
                <w:sz w:val="20"/>
                <w:szCs w:val="20"/>
              </w:rPr>
              <w:t>Déléguée au fournisseur</w:t>
            </w:r>
          </w:p>
        </w:tc>
      </w:tr>
    </w:tbl>
    <w:p w14:paraId="5C542608" w14:textId="77777777" w:rsidR="00184BDA" w:rsidRDefault="00000000">
      <w:r>
        <w:br w:type="page"/>
      </w:r>
    </w:p>
    <w:p w14:paraId="2343E7EF" w14:textId="77777777" w:rsidR="00184BDA" w:rsidRDefault="00000000">
      <w:pPr>
        <w:pStyle w:val="Titre1"/>
      </w:pPr>
      <w:bookmarkStart w:id="8" w:name="_Toc232158810"/>
      <w:r>
        <w:lastRenderedPageBreak/>
        <w:t>5. Stratégie de migration</w:t>
      </w:r>
      <w:bookmarkEnd w:id="8"/>
    </w:p>
    <w:p w14:paraId="7F258C4B" w14:textId="77777777" w:rsidR="00184BDA" w:rsidRDefault="00000000">
      <w:pPr>
        <w:spacing w:after="160"/>
        <w:jc w:val="both"/>
      </w:pPr>
      <w:r>
        <w:rPr>
          <w:color w:val="000000"/>
        </w:rPr>
        <w:t>Une migration progressive est recommandée afin de limiter les risques et d'étaler la charge. Une approche hybride permet de faire coexister l'existant et le cloud pendant la transition :</w:t>
      </w:r>
    </w:p>
    <w:p w14:paraId="5E841C98" w14:textId="77777777" w:rsidR="00184BDA" w:rsidRDefault="00000000">
      <w:pPr>
        <w:pStyle w:val="Paragraphedeliste"/>
        <w:numPr>
          <w:ilvl w:val="0"/>
          <w:numId w:val="3"/>
        </w:numPr>
        <w:spacing w:after="100"/>
        <w:jc w:val="both"/>
      </w:pPr>
      <w:r>
        <w:t xml:space="preserve">Phase 1 — Synchronisation de l'annuaire : mise en place d'Azure AD </w:t>
      </w:r>
      <w:proofErr w:type="spellStart"/>
      <w:r>
        <w:t>Connect</w:t>
      </w:r>
      <w:proofErr w:type="spellEnd"/>
      <w:r>
        <w:t xml:space="preserve"> pour synchroniser l'AD local vers Azure AD, sans interruption de service ;</w:t>
      </w:r>
    </w:p>
    <w:p w14:paraId="0D49DD19" w14:textId="77777777" w:rsidR="00184BDA" w:rsidRDefault="00000000">
      <w:pPr>
        <w:pStyle w:val="Paragraphedeliste"/>
        <w:numPr>
          <w:ilvl w:val="0"/>
          <w:numId w:val="3"/>
        </w:numPr>
        <w:spacing w:after="100"/>
        <w:jc w:val="both"/>
      </w:pPr>
      <w:r>
        <w:t xml:space="preserve">Phase 2 — Migration de l'application : déploiement de la plateforme </w:t>
      </w:r>
      <w:proofErr w:type="spellStart"/>
      <w:r>
        <w:t>Ymmo</w:t>
      </w:r>
      <w:proofErr w:type="spellEnd"/>
      <w:r>
        <w:t xml:space="preserve"> sur Azure App Service et de la base sur Azure </w:t>
      </w:r>
      <w:proofErr w:type="spellStart"/>
      <w:r>
        <w:t>Database</w:t>
      </w:r>
      <w:proofErr w:type="spellEnd"/>
      <w:r>
        <w:t xml:space="preserve"> for MySQL ;</w:t>
      </w:r>
    </w:p>
    <w:p w14:paraId="65B3AE71" w14:textId="77777777" w:rsidR="00184BDA" w:rsidRDefault="00000000">
      <w:pPr>
        <w:pStyle w:val="Paragraphedeliste"/>
        <w:numPr>
          <w:ilvl w:val="0"/>
          <w:numId w:val="3"/>
        </w:numPr>
        <w:spacing w:after="100"/>
        <w:jc w:val="both"/>
      </w:pPr>
      <w:r>
        <w:t>Phase 3 — Migration des fichiers : transfert des dossiers partagés vers Azure Files, bascule des lecteurs réseau ;</w:t>
      </w:r>
    </w:p>
    <w:p w14:paraId="39382541" w14:textId="77777777" w:rsidR="00184BDA" w:rsidRDefault="00000000">
      <w:pPr>
        <w:pStyle w:val="Paragraphedeliste"/>
        <w:numPr>
          <w:ilvl w:val="0"/>
          <w:numId w:val="3"/>
        </w:numPr>
        <w:spacing w:after="100"/>
        <w:jc w:val="both"/>
      </w:pPr>
      <w:r>
        <w:t>Phase 4 — Bascule réseau : raccordement des agences via Azure VPN Gateway, retrait progressif des serveurs locaux ;</w:t>
      </w:r>
    </w:p>
    <w:p w14:paraId="39FA0049" w14:textId="77777777" w:rsidR="00184BDA" w:rsidRDefault="00000000">
      <w:pPr>
        <w:pStyle w:val="Paragraphedeliste"/>
        <w:numPr>
          <w:ilvl w:val="0"/>
          <w:numId w:val="3"/>
        </w:numPr>
        <w:spacing w:after="100"/>
        <w:jc w:val="both"/>
      </w:pPr>
      <w:r>
        <w:t>Phase 5 — Décommissionnement : arrêt des serveurs on-</w:t>
      </w:r>
      <w:proofErr w:type="spellStart"/>
      <w:r>
        <w:t>premise</w:t>
      </w:r>
      <w:proofErr w:type="spellEnd"/>
      <w:r>
        <w:t xml:space="preserve"> une fois la stabilité confirmée.</w:t>
      </w:r>
    </w:p>
    <w:p w14:paraId="46E9C9E9" w14:textId="77777777" w:rsidR="00184BDA" w:rsidRDefault="00184BDA">
      <w:pPr>
        <w:spacing w:after="80"/>
      </w:pPr>
    </w:p>
    <w:p w14:paraId="11F3BDDF" w14:textId="77777777" w:rsidR="00184BDA" w:rsidRDefault="00000000">
      <w:pPr>
        <w:spacing w:after="160"/>
        <w:jc w:val="both"/>
      </w:pPr>
      <w:r>
        <w:rPr>
          <w:color w:val="000000"/>
        </w:rPr>
        <w:t>Cette progression permet de valider chaque étape avant la suivante et de revenir en arrière en cas de difficulté, sans jamais exposer l'activité d'</w:t>
      </w:r>
      <w:proofErr w:type="spellStart"/>
      <w:r>
        <w:rPr>
          <w:color w:val="000000"/>
        </w:rPr>
        <w:t>Ymmo</w:t>
      </w:r>
      <w:proofErr w:type="spellEnd"/>
      <w:r>
        <w:rPr>
          <w:color w:val="000000"/>
        </w:rPr>
        <w:t xml:space="preserve"> à une coupure prolongée.</w:t>
      </w:r>
    </w:p>
    <w:p w14:paraId="4EC7DFC3" w14:textId="77777777" w:rsidR="00184BDA" w:rsidRDefault="00000000">
      <w:pPr>
        <w:pStyle w:val="Titre1"/>
      </w:pPr>
      <w:bookmarkStart w:id="9" w:name="_Toc232158811"/>
      <w:r>
        <w:t>6. Recommandation</w:t>
      </w:r>
      <w:bookmarkEnd w:id="9"/>
    </w:p>
    <w:p w14:paraId="64E02E2E" w14:textId="77777777" w:rsidR="00184BDA" w:rsidRDefault="00000000">
      <w:pPr>
        <w:spacing w:after="160"/>
        <w:jc w:val="both"/>
      </w:pPr>
      <w:r>
        <w:rPr>
          <w:color w:val="000000"/>
        </w:rPr>
        <w:t xml:space="preserve">La migration vers Microsoft Azure est pertinente pour </w:t>
      </w:r>
      <w:proofErr w:type="spellStart"/>
      <w:r>
        <w:rPr>
          <w:color w:val="000000"/>
        </w:rPr>
        <w:t>Ymmo</w:t>
      </w:r>
      <w:proofErr w:type="spellEnd"/>
      <w:r>
        <w:rPr>
          <w:color w:val="000000"/>
        </w:rPr>
        <w:t xml:space="preserve"> à moyen terme. Elle répond directement aux limites de l'architecture actuelle : elle supprime le point unique de défaillance que constitue le siège, offre une disponibilité contractuelle élevée à l'ensemble des agences et délègue la maintenance matérielle. Le choix d'Azure assure une continuité optimale avec l'environnement Windows et Active Directory existant.</w:t>
      </w:r>
    </w:p>
    <w:p w14:paraId="07587B99" w14:textId="77777777" w:rsidR="00184BDA" w:rsidRDefault="00000000">
      <w:pPr>
        <w:spacing w:after="160"/>
        <w:jc w:val="both"/>
      </w:pPr>
      <w:r>
        <w:rPr>
          <w:color w:val="000000"/>
        </w:rPr>
        <w:t>Nous recommandons d'engager d'abord une phase pilote sur l'application web et sa base de données — composants les moins critiques pour l'authentification — afin de valider les coûts réels et la qualité de service avant d'envisager la migration de l'annuaire et des fichiers. Cette prudence permet de décider en connaissance de cause, sur la base de mesures concrètes plutôt que d'estimations.</w:t>
      </w:r>
    </w:p>
    <w:p w14:paraId="688A4ABC" w14:textId="77777777" w:rsidR="00184BDA" w:rsidRDefault="00184BDA">
      <w:pPr>
        <w:spacing w:after="40"/>
      </w:pPr>
    </w:p>
    <w:sectPr w:rsidR="00184BDA">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402724" w14:textId="77777777" w:rsidR="003A0F06" w:rsidRDefault="003A0F06">
      <w:r>
        <w:separator/>
      </w:r>
    </w:p>
  </w:endnote>
  <w:endnote w:type="continuationSeparator" w:id="0">
    <w:p w14:paraId="686CBD28" w14:textId="77777777" w:rsidR="003A0F06" w:rsidRDefault="003A0F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79EE3" w14:textId="77777777" w:rsidR="00184BDA" w:rsidRDefault="00000000">
    <w:pPr>
      <w:pBdr>
        <w:top w:val="single" w:sz="4" w:space="2" w:color="BBBBBB"/>
      </w:pBdr>
      <w:jc w:val="center"/>
    </w:pPr>
    <w:r>
      <w:rPr>
        <w:color w:val="888888"/>
        <w:sz w:val="16"/>
        <w:szCs w:val="16"/>
      </w:rPr>
      <w:t xml:space="preserve">Infrastructure réseau — Pôle IT &amp; Support     |     Page </w:t>
    </w:r>
    <w:r>
      <w:rPr>
        <w:color w:val="888888"/>
        <w:sz w:val="16"/>
        <w:szCs w:val="16"/>
      </w:rPr>
      <w:fldChar w:fldCharType="begin"/>
    </w:r>
    <w:r>
      <w:rPr>
        <w:color w:val="888888"/>
        <w:sz w:val="16"/>
        <w:szCs w:val="16"/>
      </w:rPr>
      <w:instrText>PAGE</w:instrText>
    </w:r>
    <w:r>
      <w:rPr>
        <w:color w:val="888888"/>
        <w:sz w:val="16"/>
        <w:szCs w:val="16"/>
      </w:rPr>
      <w:fldChar w:fldCharType="separate"/>
    </w:r>
    <w:r w:rsidR="00ED6E87">
      <w:rPr>
        <w:noProof/>
        <w:color w:val="888888"/>
        <w:sz w:val="16"/>
        <w:szCs w:val="16"/>
      </w:rPr>
      <w:t>1</w:t>
    </w:r>
    <w:r>
      <w:rPr>
        <w:color w:val="888888"/>
        <w:sz w:val="16"/>
        <w:szCs w:val="16"/>
      </w:rPr>
      <w:fldChar w:fldCharType="end"/>
    </w:r>
    <w:r>
      <w:rPr>
        <w:color w:val="888888"/>
        <w:sz w:val="16"/>
        <w:szCs w:val="16"/>
      </w:rPr>
      <w:t xml:space="preserve"> / </w:t>
    </w:r>
    <w:r>
      <w:rPr>
        <w:color w:val="888888"/>
        <w:sz w:val="16"/>
        <w:szCs w:val="16"/>
      </w:rPr>
      <w:fldChar w:fldCharType="begin"/>
    </w:r>
    <w:r>
      <w:rPr>
        <w:color w:val="888888"/>
        <w:sz w:val="16"/>
        <w:szCs w:val="16"/>
      </w:rPr>
      <w:instrText>NUMPAGES</w:instrText>
    </w:r>
    <w:r>
      <w:rPr>
        <w:color w:val="888888"/>
        <w:sz w:val="16"/>
        <w:szCs w:val="16"/>
      </w:rPr>
      <w:fldChar w:fldCharType="separate"/>
    </w:r>
    <w:r w:rsidR="00ED6E87">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905469" w14:textId="77777777" w:rsidR="003A0F06" w:rsidRDefault="003A0F06">
      <w:r>
        <w:separator/>
      </w:r>
    </w:p>
  </w:footnote>
  <w:footnote w:type="continuationSeparator" w:id="0">
    <w:p w14:paraId="43402150" w14:textId="77777777" w:rsidR="003A0F06" w:rsidRDefault="003A0F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B6EB5" w14:textId="77777777" w:rsidR="00184BDA" w:rsidRDefault="00000000">
    <w:pPr>
      <w:pBdr>
        <w:bottom w:val="single" w:sz="4" w:space="2" w:color="BBBBBB"/>
      </w:pBdr>
      <w:jc w:val="right"/>
    </w:pPr>
    <w:r>
      <w:rPr>
        <w:color w:val="888888"/>
        <w:sz w:val="16"/>
        <w:szCs w:val="16"/>
      </w:rPr>
      <w:t xml:space="preserve">Projet </w:t>
    </w:r>
    <w:proofErr w:type="spellStart"/>
    <w:r>
      <w:rPr>
        <w:color w:val="888888"/>
        <w:sz w:val="16"/>
        <w:szCs w:val="16"/>
      </w:rPr>
      <w:t>Ymmo</w:t>
    </w:r>
    <w:proofErr w:type="spellEnd"/>
    <w:r>
      <w:rPr>
        <w:color w:val="888888"/>
        <w:sz w:val="16"/>
        <w:szCs w:val="16"/>
      </w:rPr>
      <w:t xml:space="preserve"> — Proposition Cloud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655D4"/>
    <w:multiLevelType w:val="hybridMultilevel"/>
    <w:tmpl w:val="F1921C60"/>
    <w:lvl w:ilvl="0" w:tplc="0CC67234">
      <w:start w:val="1"/>
      <w:numFmt w:val="bullet"/>
      <w:lvlText w:val="•"/>
      <w:lvlJc w:val="left"/>
      <w:pPr>
        <w:ind w:left="540" w:hanging="280"/>
      </w:pPr>
    </w:lvl>
    <w:lvl w:ilvl="1" w:tplc="A7C4872E">
      <w:numFmt w:val="decimal"/>
      <w:lvlText w:val=""/>
      <w:lvlJc w:val="left"/>
    </w:lvl>
    <w:lvl w:ilvl="2" w:tplc="98F21ED2">
      <w:numFmt w:val="decimal"/>
      <w:lvlText w:val=""/>
      <w:lvlJc w:val="left"/>
    </w:lvl>
    <w:lvl w:ilvl="3" w:tplc="DB224D6E">
      <w:numFmt w:val="decimal"/>
      <w:lvlText w:val=""/>
      <w:lvlJc w:val="left"/>
    </w:lvl>
    <w:lvl w:ilvl="4" w:tplc="E13C7D32">
      <w:numFmt w:val="decimal"/>
      <w:lvlText w:val=""/>
      <w:lvlJc w:val="left"/>
    </w:lvl>
    <w:lvl w:ilvl="5" w:tplc="8910CB82">
      <w:numFmt w:val="decimal"/>
      <w:lvlText w:val=""/>
      <w:lvlJc w:val="left"/>
    </w:lvl>
    <w:lvl w:ilvl="6" w:tplc="DE24CA4C">
      <w:numFmt w:val="decimal"/>
      <w:lvlText w:val=""/>
      <w:lvlJc w:val="left"/>
    </w:lvl>
    <w:lvl w:ilvl="7" w:tplc="56DC91E4">
      <w:numFmt w:val="decimal"/>
      <w:lvlText w:val=""/>
      <w:lvlJc w:val="left"/>
    </w:lvl>
    <w:lvl w:ilvl="8" w:tplc="39F0FD06">
      <w:numFmt w:val="decimal"/>
      <w:lvlText w:val=""/>
      <w:lvlJc w:val="left"/>
    </w:lvl>
  </w:abstractNum>
  <w:abstractNum w:abstractNumId="1" w15:restartNumberingAfterBreak="0">
    <w:nsid w:val="3C886F62"/>
    <w:multiLevelType w:val="hybridMultilevel"/>
    <w:tmpl w:val="BD8C57BE"/>
    <w:lvl w:ilvl="0" w:tplc="8AA41C8A">
      <w:start w:val="1"/>
      <w:numFmt w:val="bullet"/>
      <w:lvlText w:val="●"/>
      <w:lvlJc w:val="left"/>
      <w:pPr>
        <w:ind w:left="720" w:hanging="360"/>
      </w:pPr>
    </w:lvl>
    <w:lvl w:ilvl="1" w:tplc="52EECFFA">
      <w:start w:val="1"/>
      <w:numFmt w:val="bullet"/>
      <w:lvlText w:val="○"/>
      <w:lvlJc w:val="left"/>
      <w:pPr>
        <w:ind w:left="1440" w:hanging="360"/>
      </w:pPr>
    </w:lvl>
    <w:lvl w:ilvl="2" w:tplc="4580C516">
      <w:start w:val="1"/>
      <w:numFmt w:val="bullet"/>
      <w:lvlText w:val="■"/>
      <w:lvlJc w:val="left"/>
      <w:pPr>
        <w:ind w:left="2160" w:hanging="360"/>
      </w:pPr>
    </w:lvl>
    <w:lvl w:ilvl="3" w:tplc="8AAA16A6">
      <w:start w:val="1"/>
      <w:numFmt w:val="bullet"/>
      <w:lvlText w:val="●"/>
      <w:lvlJc w:val="left"/>
      <w:pPr>
        <w:ind w:left="2880" w:hanging="360"/>
      </w:pPr>
    </w:lvl>
    <w:lvl w:ilvl="4" w:tplc="410E49C0">
      <w:start w:val="1"/>
      <w:numFmt w:val="bullet"/>
      <w:lvlText w:val="○"/>
      <w:lvlJc w:val="left"/>
      <w:pPr>
        <w:ind w:left="3600" w:hanging="360"/>
      </w:pPr>
    </w:lvl>
    <w:lvl w:ilvl="5" w:tplc="D2EC2A4C">
      <w:start w:val="1"/>
      <w:numFmt w:val="bullet"/>
      <w:lvlText w:val="■"/>
      <w:lvlJc w:val="left"/>
      <w:pPr>
        <w:ind w:left="4320" w:hanging="360"/>
      </w:pPr>
    </w:lvl>
    <w:lvl w:ilvl="6" w:tplc="106A177E">
      <w:start w:val="1"/>
      <w:numFmt w:val="bullet"/>
      <w:lvlText w:val="●"/>
      <w:lvlJc w:val="left"/>
      <w:pPr>
        <w:ind w:left="5040" w:hanging="360"/>
      </w:pPr>
    </w:lvl>
    <w:lvl w:ilvl="7" w:tplc="7BFCF24A">
      <w:start w:val="1"/>
      <w:numFmt w:val="bullet"/>
      <w:lvlText w:val="●"/>
      <w:lvlJc w:val="left"/>
      <w:pPr>
        <w:ind w:left="5760" w:hanging="360"/>
      </w:pPr>
    </w:lvl>
    <w:lvl w:ilvl="8" w:tplc="9C4C9A3E">
      <w:start w:val="1"/>
      <w:numFmt w:val="bullet"/>
      <w:lvlText w:val="●"/>
      <w:lvlJc w:val="left"/>
      <w:pPr>
        <w:ind w:left="6480" w:hanging="360"/>
      </w:pPr>
    </w:lvl>
  </w:abstractNum>
  <w:abstractNum w:abstractNumId="2" w15:restartNumberingAfterBreak="0">
    <w:nsid w:val="6F531917"/>
    <w:multiLevelType w:val="hybridMultilevel"/>
    <w:tmpl w:val="7E2CC946"/>
    <w:lvl w:ilvl="0" w:tplc="249A82EA">
      <w:start w:val="1"/>
      <w:numFmt w:val="decimal"/>
      <w:lvlText w:val="%1."/>
      <w:lvlJc w:val="left"/>
      <w:pPr>
        <w:ind w:left="540" w:hanging="280"/>
      </w:pPr>
    </w:lvl>
    <w:lvl w:ilvl="1" w:tplc="D4BE1D58">
      <w:numFmt w:val="decimal"/>
      <w:lvlText w:val=""/>
      <w:lvlJc w:val="left"/>
    </w:lvl>
    <w:lvl w:ilvl="2" w:tplc="FDEA7E7A">
      <w:numFmt w:val="decimal"/>
      <w:lvlText w:val=""/>
      <w:lvlJc w:val="left"/>
    </w:lvl>
    <w:lvl w:ilvl="3" w:tplc="8DFA15DA">
      <w:numFmt w:val="decimal"/>
      <w:lvlText w:val=""/>
      <w:lvlJc w:val="left"/>
    </w:lvl>
    <w:lvl w:ilvl="4" w:tplc="9872BDB0">
      <w:numFmt w:val="decimal"/>
      <w:lvlText w:val=""/>
      <w:lvlJc w:val="left"/>
    </w:lvl>
    <w:lvl w:ilvl="5" w:tplc="80D267B0">
      <w:numFmt w:val="decimal"/>
      <w:lvlText w:val=""/>
      <w:lvlJc w:val="left"/>
    </w:lvl>
    <w:lvl w:ilvl="6" w:tplc="49688388">
      <w:numFmt w:val="decimal"/>
      <w:lvlText w:val=""/>
      <w:lvlJc w:val="left"/>
    </w:lvl>
    <w:lvl w:ilvl="7" w:tplc="6E16E5CA">
      <w:numFmt w:val="decimal"/>
      <w:lvlText w:val=""/>
      <w:lvlJc w:val="left"/>
    </w:lvl>
    <w:lvl w:ilvl="8" w:tplc="F8D49EC0">
      <w:numFmt w:val="decimal"/>
      <w:lvlText w:val=""/>
      <w:lvlJc w:val="left"/>
    </w:lvl>
  </w:abstractNum>
  <w:num w:numId="1" w16cid:durableId="2005431903">
    <w:abstractNumId w:val="1"/>
    <w:lvlOverride w:ilvl="0">
      <w:startOverride w:val="1"/>
    </w:lvlOverride>
  </w:num>
  <w:num w:numId="2" w16cid:durableId="1152792234">
    <w:abstractNumId w:val="0"/>
    <w:lvlOverride w:ilvl="0">
      <w:startOverride w:val="1"/>
    </w:lvlOverride>
  </w:num>
  <w:num w:numId="3" w16cid:durableId="130967619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4BDA"/>
    <w:rsid w:val="00064818"/>
    <w:rsid w:val="00184BDA"/>
    <w:rsid w:val="003A0F06"/>
    <w:rsid w:val="004D6529"/>
    <w:rsid w:val="00ED6E8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BC51B"/>
  <w15:docId w15:val="{2B583594-86A7-4253-940C-D345A2B2A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pBdr>
        <w:bottom w:val="single" w:sz="6" w:space="4" w:color="1F3864"/>
      </w:pBdr>
      <w:spacing w:before="280" w:after="160"/>
      <w:outlineLvl w:val="0"/>
    </w:pPr>
    <w:rPr>
      <w:b/>
      <w:bCs/>
      <w:color w:val="1F3864"/>
      <w:sz w:val="30"/>
      <w:szCs w:val="30"/>
    </w:rPr>
  </w:style>
  <w:style w:type="paragraph" w:styleId="Titre2">
    <w:name w:val="heading 2"/>
    <w:uiPriority w:val="9"/>
    <w:unhideWhenUsed/>
    <w:qFormat/>
    <w:pPr>
      <w:spacing w:before="200" w:after="120"/>
      <w:outlineLvl w:val="1"/>
    </w:pPr>
    <w:rPr>
      <w:b/>
      <w:bCs/>
      <w:color w:val="2E5496"/>
      <w:sz w:val="25"/>
      <w:szCs w:val="25"/>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ED6E87"/>
    <w:pPr>
      <w:spacing w:after="100"/>
    </w:pPr>
  </w:style>
  <w:style w:type="paragraph" w:styleId="TM2">
    <w:name w:val="toc 2"/>
    <w:basedOn w:val="Normal"/>
    <w:next w:val="Normal"/>
    <w:autoRedefine/>
    <w:uiPriority w:val="39"/>
    <w:unhideWhenUsed/>
    <w:rsid w:val="00ED6E87"/>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1280</Words>
  <Characters>7040</Characters>
  <Application>Microsoft Office Word</Application>
  <DocSecurity>0</DocSecurity>
  <Lines>58</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RIBEIRO Thomas</cp:lastModifiedBy>
  <cp:revision>2</cp:revision>
  <dcterms:created xsi:type="dcterms:W3CDTF">2026-06-11T15:27:00Z</dcterms:created>
  <dcterms:modified xsi:type="dcterms:W3CDTF">2026-06-12T10:34:00Z</dcterms:modified>
</cp:coreProperties>
</file>