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2E5496"/>
          <w:sz w:val="30"/>
          <w:szCs w:val="30"/>
        </w:rPr>
        <w:t xml:space="preserve">PROJET YMMO</w:t>
      </w:r>
    </w:p>
    <w:p>
      <w:pPr>
        <w:spacing w:after="480" w:before="120"/>
        <w:jc w:val="center"/>
      </w:pPr>
      <w:r>
        <w:rPr>
          <w:rFonts w:ascii="Arial" w:cs="Arial" w:eastAsia="Arial" w:hAnsi="Arial"/>
          <w:color w:val="888888"/>
          <w:sz w:val="22"/>
          <w:szCs w:val="22"/>
        </w:rPr>
        <w:t xml:space="preserve">Infrastructure réseau multi-sites</w:t>
      </w:r>
    </w:p>
    <w:p>
      <w:pPr>
        <w:pBdr>
          <w:top w:val="single" w:color="1F3864" w:sz="12" w:space="6"/>
          <w:bottom w:val="single" w:color="1F3864" w:sz="12" w:space="6"/>
        </w:pBdr>
        <w:spacing w:after="0" w:before="0"/>
        <w:jc w:val="center"/>
      </w:pPr>
      <w:r>
        <w:rPr>
          <w:rFonts w:ascii="Arial" w:cs="Arial" w:eastAsia="Arial" w:hAnsi="Arial"/>
          <w:b/>
          <w:bCs/>
          <w:color w:val="1F3864"/>
          <w:sz w:val="44"/>
          <w:szCs w:val="44"/>
        </w:rPr>
        <w:t xml:space="preserve">Liste du matériel
et budgétisation</w:t>
      </w:r>
    </w:p>
    <w:p>
      <w:pPr>
        <w:spacing w:after="0" w:before="360"/>
        <w:jc w:val="center"/>
      </w:pPr>
      <w:r>
        <w:rPr>
          <w:rFonts w:ascii="Arial" w:cs="Arial" w:eastAsia="Arial" w:hAnsi="Arial"/>
          <w:i/>
          <w:iCs/>
          <w:color w:val="555555"/>
          <w:sz w:val="22"/>
          <w:szCs w:val="22"/>
        </w:rPr>
        <w:t xml:space="preserve">Dimensionnement et chiffrage de l'infrastructure physique</w:t>
      </w:r>
    </w:p>
    <w:p>
      <w:pPr>
        <w:spacing w:after="0" w:before="2400"/>
        <w:jc w:val="center"/>
      </w:pPr>
      <w:r>
        <w:rPr>
          <w:rFonts w:ascii="Arial" w:cs="Arial" w:eastAsia="Arial" w:hAnsi="Arial"/>
          <w:color w:val="888888"/>
          <w:sz w:val="20"/>
          <w:szCs w:val="20"/>
        </w:rPr>
        <w:t xml:space="preserve">Document technique — Pôle IT &amp; Support</w:t>
      </w:r>
    </w:p>
    <w:p>
      <w:pPr>
        <w:spacing w:before="80"/>
        <w:jc w:val="center"/>
      </w:pPr>
      <w:r>
        <w:rPr>
          <w:rFonts w:ascii="Arial" w:cs="Arial" w:eastAsia="Arial" w:hAnsi="Arial"/>
          <w:color w:val="888888"/>
          <w:sz w:val="20"/>
          <w:szCs w:val="20"/>
        </w:rPr>
        <w:t xml:space="preserve">Siège social — Aix-en-Provence</w:t>
      </w:r>
    </w:p>
    <w:p>
      <w:r>
        <w:br w:type="page"/>
      </w:r>
    </w:p>
    <w:p>
      <w:pPr>
        <w:spacing w:after="160"/>
      </w:pPr>
      <w:r>
        <w:rPr>
          <w:rFonts w:ascii="Arial" w:cs="Arial" w:eastAsia="Arial" w:hAnsi="Arial"/>
          <w:b/>
          <w:bCs/>
          <w:color w:val="1F3864"/>
          <w:sz w:val="28"/>
          <w:szCs w:val="2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Objet et méthode</w:t>
      </w:r>
    </w:p>
    <w:p>
      <w:pPr>
        <w:spacing w:after="160" w:before="0"/>
        <w:jc w:val="both"/>
      </w:pPr>
      <w:r>
        <w:rPr>
          <w:rFonts w:ascii="Arial" w:cs="Arial" w:eastAsia="Arial" w:hAnsi="Arial"/>
          <w:b w:val="false"/>
          <w:bCs w:val="false"/>
          <w:i w:val="false"/>
          <w:iCs w:val="false"/>
          <w:color w:val="000000"/>
          <w:sz w:val="22"/>
          <w:szCs w:val="22"/>
        </w:rPr>
        <w:t xml:space="preserve">Ce document présente le matériel nécessaire au déploiement réel de l'infrastructure Ymmo, ainsi qu'une estimation budgétaire. Il distingue l'équipement du siège social d'Aix-en-Provence de celui des 12 agences distantes, puis consolide l'investissement global.</w:t>
      </w:r>
    </w:p>
    <w:p>
      <w:pPr>
        <w:spacing w:after="160" w:before="0"/>
        <w:jc w:val="both"/>
      </w:pPr>
      <w:r>
        <w:rPr>
          <w:rFonts w:ascii="Arial" w:cs="Arial" w:eastAsia="Arial" w:hAnsi="Arial"/>
          <w:b w:val="false"/>
          <w:bCs w:val="false"/>
          <w:i w:val="false"/>
          <w:iCs w:val="false"/>
          <w:color w:val="000000"/>
          <w:sz w:val="22"/>
          <w:szCs w:val="22"/>
        </w:rPr>
        <w:t xml:space="preserve">Les besoins découlent du cahier des charges : environ 30 postes au siège répartis en cinq pôles, et 5 postes par agence (commerciaux). Les prix sont des estimations indicatives en euros HT, fondées sur des tarifs de gamme professionnelle au moment de la rédaction ; ils sont à actualiser et à négocier auprès des fournisseurs lors d'une consultation réelle.</w:t>
      </w:r>
    </w:p>
    <w:p>
      <w:pPr>
        <w:pStyle w:val="Heading2"/>
      </w:pPr>
      <w:r>
        <w:rPr>
          <w:rFonts w:ascii="Arial" w:cs="Arial" w:eastAsia="Arial" w:hAnsi="Arial"/>
        </w:rPr>
        <w:t xml:space="preserve">1.1. Hypothèses de dimensionnement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Élément</w:t>
            </w:r>
          </w:p>
        </w:tc>
        <w:tc>
          <w:tcPr>
            <w:tcW w:type="dxa" w:w="4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Quantité</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Postes de travail au siège</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w:t>
            </w:r>
          </w:p>
        </w:tc>
      </w:tr>
      <w:tr>
        <w:tc>
          <w:tcPr>
            <w:tcW w:type="dxa" w:w="5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Pôles métier au siège</w:t>
            </w:r>
          </w:p>
        </w:tc>
        <w:tc>
          <w:tcPr>
            <w:tcW w:type="dxa" w:w="4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 (Direction, Commercial, Com&amp;Mktg, Admin-RH, IT)</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Agences distantes</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12</w:t>
            </w:r>
          </w:p>
        </w:tc>
      </w:tr>
      <w:tr>
        <w:tc>
          <w:tcPr>
            <w:tcW w:type="dxa" w:w="5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Postes par agence</w:t>
            </w:r>
          </w:p>
        </w:tc>
        <w:tc>
          <w:tcPr>
            <w:tcW w:type="dxa" w:w="4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Serveurs physiques au siège</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 (contrôleur de domaine, application/BDD)</w:t>
            </w:r>
          </w:p>
        </w:tc>
      </w:tr>
    </w:tbl>
    <w:p>
      <w:r>
        <w:br w:type="page"/>
      </w:r>
    </w:p>
    <w:p>
      <w:pPr>
        <w:pStyle w:val="Heading1"/>
      </w:pPr>
      <w:r>
        <w:rPr>
          <w:rFonts w:ascii="Arial" w:cs="Arial" w:eastAsia="Arial" w:hAnsi="Arial"/>
        </w:rPr>
        <w:t xml:space="preserve">2. Matériel du siège</w:t>
      </w:r>
    </w:p>
    <w:p>
      <w:pPr>
        <w:pStyle w:val="Heading2"/>
      </w:pPr>
      <w:r>
        <w:rPr>
          <w:rFonts w:ascii="Arial" w:cs="Arial" w:eastAsia="Arial" w:hAnsi="Arial"/>
        </w:rPr>
        <w:t xml:space="preserve">2.1. Serveurs et infrastructure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5"/>
        <w:gridCol w:w="818"/>
        <w:gridCol w:w="1841"/>
        <w:gridCol w:w="2072"/>
      </w:tblGrid>
      <w:tr>
        <w:trPr>
          <w:tblHeader/>
        </w:trPr>
        <w:tc>
          <w:tcPr>
            <w:tcW w:type="dxa" w:w="429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Équipement</w:t>
            </w:r>
          </w:p>
        </w:tc>
        <w:tc>
          <w:tcPr>
            <w:tcW w:type="dxa" w:w="81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Qté</w:t>
            </w:r>
          </w:p>
        </w:tc>
        <w:tc>
          <w:tcPr>
            <w:tcW w:type="dxa" w:w="184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P.U. (€ HT)</w:t>
            </w:r>
          </w:p>
        </w:tc>
        <w:tc>
          <w:tcPr>
            <w:tcW w:type="dxa" w:w="207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 HT)</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Serveur rack (Xeon, 64 Go RAM, RAID SSD)</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4 500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9 000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Onduleur rack (UPS) 3000 VA</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1 200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1 200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Pare-feu matériel (UTM)</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1 800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1 800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Switch administrable 48 ports (VLAN, PoE)</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1 400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2 800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Baie de brassage 42U + accessoires</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NAS de sauvegarde 4 baies + disques</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1 500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1 500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Sous-total serveurs et réseau (siège)</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17 200 €</w:t>
            </w:r>
          </w:p>
        </w:tc>
      </w:tr>
    </w:tbl>
    <w:p>
      <w:pPr>
        <w:pStyle w:val="Heading2"/>
      </w:pPr>
      <w:r>
        <w:rPr>
          <w:rFonts w:ascii="Arial" w:cs="Arial" w:eastAsia="Arial" w:hAnsi="Arial"/>
        </w:rPr>
        <w:t xml:space="preserve">2.2. Postes de travail et périphériques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5"/>
        <w:gridCol w:w="818"/>
        <w:gridCol w:w="1841"/>
        <w:gridCol w:w="2072"/>
      </w:tblGrid>
      <w:tr>
        <w:trPr>
          <w:tblHeader/>
        </w:trPr>
        <w:tc>
          <w:tcPr>
            <w:tcW w:type="dxa" w:w="429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Équipement</w:t>
            </w:r>
          </w:p>
        </w:tc>
        <w:tc>
          <w:tcPr>
            <w:tcW w:type="dxa" w:w="81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Qté</w:t>
            </w:r>
          </w:p>
        </w:tc>
        <w:tc>
          <w:tcPr>
            <w:tcW w:type="dxa" w:w="184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P.U. (€ HT)</w:t>
            </w:r>
          </w:p>
        </w:tc>
        <w:tc>
          <w:tcPr>
            <w:tcW w:type="dxa" w:w="207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 HT)</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Poste de travail (i5, 16 Go, SSD 512 Go)</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750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22 500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Écran 24 pouces</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4 500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Imprimante multifonction réseau</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600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600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Téléphone IP</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30</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2 700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Sous-total postes et périphériques (siège)</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30 300 €</w:t>
            </w:r>
          </w:p>
        </w:tc>
      </w:tr>
    </w:tbl>
    <w:p>
      <w:pPr>
        <w:pStyle w:val="Heading2"/>
      </w:pPr>
      <w:r>
        <w:rPr>
          <w:rFonts w:ascii="Arial" w:cs="Arial" w:eastAsia="Arial" w:hAnsi="Arial"/>
        </w:rPr>
        <w:t xml:space="preserve">2.3. Câblage et divers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5"/>
        <w:gridCol w:w="818"/>
        <w:gridCol w:w="1841"/>
        <w:gridCol w:w="2072"/>
      </w:tblGrid>
      <w:tr>
        <w:trPr>
          <w:tblHeader/>
        </w:trPr>
        <w:tc>
          <w:tcPr>
            <w:tcW w:type="dxa" w:w="429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Équipement</w:t>
            </w:r>
          </w:p>
        </w:tc>
        <w:tc>
          <w:tcPr>
            <w:tcW w:type="dxa" w:w="81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Qté</w:t>
            </w:r>
          </w:p>
        </w:tc>
        <w:tc>
          <w:tcPr>
            <w:tcW w:type="dxa" w:w="184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P.U. (€ HT)</w:t>
            </w:r>
          </w:p>
        </w:tc>
        <w:tc>
          <w:tcPr>
            <w:tcW w:type="dxa" w:w="207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 HT)</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Câblage réseau catégorie 6A (forfait siège)</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3 500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3 500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Prises murales RJ45 et goulottes (forfait)</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1 200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1 200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Sous-total câblage et divers (siège)</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4 700 €</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MATÉRIEL SIÈGE</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52 200 € HT</w:t>
            </w:r>
          </w:p>
        </w:tc>
      </w:tr>
    </w:tbl>
    <w:p>
      <w:r>
        <w:br w:type="page"/>
      </w:r>
    </w:p>
    <w:p>
      <w:pPr>
        <w:pStyle w:val="Heading1"/>
      </w:pPr>
      <w:r>
        <w:rPr>
          <w:rFonts w:ascii="Arial" w:cs="Arial" w:eastAsia="Arial" w:hAnsi="Arial"/>
        </w:rPr>
        <w:t xml:space="preserve">3. Matériel des agences</w:t>
      </w:r>
    </w:p>
    <w:p>
      <w:pPr>
        <w:spacing w:after="160" w:before="0"/>
        <w:jc w:val="both"/>
      </w:pPr>
      <w:r>
        <w:rPr>
          <w:rFonts w:ascii="Arial" w:cs="Arial" w:eastAsia="Arial" w:hAnsi="Arial"/>
          <w:b w:val="false"/>
          <w:bCs w:val="false"/>
          <w:i w:val="false"/>
          <w:iCs w:val="false"/>
          <w:color w:val="000000"/>
          <w:sz w:val="22"/>
          <w:szCs w:val="22"/>
        </w:rPr>
        <w:t xml:space="preserve">Chaque agence est équipée de manière standardisée. Le routeur intègre les fonctions de pare-feu et de terminaison VPN pour établir le tunnel vers le siège.</w:t>
      </w:r>
    </w:p>
    <w:p>
      <w:pPr>
        <w:pStyle w:val="Heading2"/>
      </w:pPr>
      <w:r>
        <w:rPr>
          <w:rFonts w:ascii="Arial" w:cs="Arial" w:eastAsia="Arial" w:hAnsi="Arial"/>
        </w:rPr>
        <w:t xml:space="preserve">3.1. Équipement d'une agence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5"/>
        <w:gridCol w:w="818"/>
        <w:gridCol w:w="1841"/>
        <w:gridCol w:w="2072"/>
      </w:tblGrid>
      <w:tr>
        <w:trPr>
          <w:tblHeader/>
        </w:trPr>
        <w:tc>
          <w:tcPr>
            <w:tcW w:type="dxa" w:w="429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Équipement</w:t>
            </w:r>
          </w:p>
        </w:tc>
        <w:tc>
          <w:tcPr>
            <w:tcW w:type="dxa" w:w="81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Qté</w:t>
            </w:r>
          </w:p>
        </w:tc>
        <w:tc>
          <w:tcPr>
            <w:tcW w:type="dxa" w:w="184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P.U. (€ HT)</w:t>
            </w:r>
          </w:p>
        </w:tc>
        <w:tc>
          <w:tcPr>
            <w:tcW w:type="dxa" w:w="207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 HT)</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Poste de travail (i5, 16 Go, SSD 512 Go)</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750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3 750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Écran 24 pouces</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750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Routeur VPN / pare-feu</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450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450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Switch 8 ports</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Imprimante multifonction réseau</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400</w:t>
            </w:r>
          </w:p>
        </w:tc>
      </w:tr>
      <w:tr>
        <w:tc>
          <w:tcPr>
            <w:tcW w:type="dxa" w:w="4295"/>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Téléphone IP</w:t>
            </w:r>
          </w:p>
        </w:tc>
        <w:tc>
          <w:tcPr>
            <w:tcW w:type="dxa" w:w="818"/>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w:t>
            </w:r>
          </w:p>
        </w:tc>
        <w:tc>
          <w:tcPr>
            <w:tcW w:type="dxa" w:w="1841"/>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w:t>
            </w:r>
          </w:p>
        </w:tc>
        <w:tc>
          <w:tcPr>
            <w:tcW w:type="dxa" w:w="2072"/>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450</w:t>
            </w:r>
          </w:p>
        </w:tc>
      </w:tr>
      <w:tr>
        <w:tc>
          <w:tcPr>
            <w:tcW w:type="dxa" w:w="4295"/>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Câblage (forfait agence)</w:t>
            </w:r>
          </w:p>
        </w:tc>
        <w:tc>
          <w:tcPr>
            <w:tcW w:type="dxa" w:w="81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w:t>
            </w:r>
          </w:p>
        </w:tc>
        <w:tc>
          <w:tcPr>
            <w:tcW w:type="dxa" w:w="1841"/>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600</w:t>
            </w:r>
          </w:p>
        </w:tc>
        <w:tc>
          <w:tcPr>
            <w:tcW w:type="dxa" w:w="2072"/>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600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Sous-total par agence</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6 550 €</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12 AGENCES (6 550 € × 12)</w:t>
            </w:r>
          </w:p>
        </w:tc>
        <w:tc>
          <w:tcPr>
            <w:tcW w:type="dxa" w:w="2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78 600 € HT</w:t>
            </w:r>
          </w:p>
        </w:tc>
      </w:tr>
    </w:tbl>
    <w:p>
      <w:pPr>
        <w:pStyle w:val="Heading1"/>
      </w:pPr>
      <w:r>
        <w:rPr>
          <w:rFonts w:ascii="Arial" w:cs="Arial" w:eastAsia="Arial" w:hAnsi="Arial"/>
        </w:rPr>
        <w:t xml:space="preserve">4. Logiciels et licences</w:t>
      </w:r>
    </w:p>
    <w:p>
      <w:pPr>
        <w:spacing w:after="160" w:before="0"/>
        <w:jc w:val="both"/>
      </w:pPr>
      <w:r>
        <w:rPr>
          <w:rFonts w:ascii="Arial" w:cs="Arial" w:eastAsia="Arial" w:hAnsi="Arial"/>
          <w:b w:val="false"/>
          <w:bCs w:val="false"/>
          <w:i w:val="false"/>
          <w:iCs w:val="false"/>
          <w:color w:val="000000"/>
          <w:sz w:val="22"/>
          <w:szCs w:val="22"/>
        </w:rPr>
        <w:t xml:space="preserve">Aux coûts matériels s'ajoutent les licences logicielles, en partie sous forme d'abonnement annuel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Logiciel / licence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Détail</w:t>
            </w:r>
          </w:p>
        </w:tc>
        <w:tc>
          <w:tcPr>
            <w:tcW w:type="dxa" w:w="24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Coût annuel (€ HT)</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Windows Server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 licences + CAL utilisateurs</w:t>
            </w:r>
          </w:p>
        </w:tc>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3 500</w:t>
            </w:r>
          </w:p>
        </w:tc>
      </w:tr>
      <w:tr>
        <w:tc>
          <w:tcPr>
            <w:tcW w:type="dxa" w:w="34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Microsoft 365 Business</w:t>
            </w:r>
          </w:p>
        </w:tc>
        <w:tc>
          <w:tcPr>
            <w:tcW w:type="dxa" w:w="32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 utilisateurs</w:t>
            </w:r>
          </w:p>
        </w:tc>
        <w:tc>
          <w:tcPr>
            <w:tcW w:type="dxa" w:w="24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13 500</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Antivirus / EDR professionnel</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90 postes</w:t>
            </w:r>
          </w:p>
        </w:tc>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3 600</w:t>
            </w:r>
          </w:p>
        </w:tc>
      </w:tr>
      <w:tr>
        <w:tc>
          <w:tcPr>
            <w:tcW w:type="dxa" w:w="34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Solution de sauvegarde</w:t>
            </w:r>
          </w:p>
        </w:tc>
        <w:tc>
          <w:tcPr>
            <w:tcW w:type="dxa" w:w="32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Licence serveur</w:t>
            </w:r>
          </w:p>
        </w:tc>
        <w:tc>
          <w:tcPr>
            <w:tcW w:type="dxa" w:w="24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1 000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Sous-total licences (annuel)</w:t>
            </w:r>
          </w:p>
        </w:tc>
        <w:tc>
          <w:tcPr>
            <w:tcW w:type="dxa" w:w="24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21 600 € / an</w:t>
            </w:r>
          </w:p>
        </w:tc>
      </w:tr>
    </w:tbl>
    <w:p>
      <w:pPr>
        <w:spacing w:after="40"/>
      </w:pPr>
      <w:r>
        <w:t xml:space="preserve"/>
      </w:r>
    </w:p>
    <w:p>
      <w:pPr>
        <w:spacing w:after="160" w:before="0"/>
        <w:jc w:val="both"/>
      </w:pPr>
      <w:r>
        <w:rPr>
          <w:rFonts w:ascii="Arial" w:cs="Arial" w:eastAsia="Arial" w:hAnsi="Arial"/>
          <w:b w:val="false"/>
          <w:bCs w:val="false"/>
          <w:i/>
          <w:iCs/>
          <w:color w:val="000000"/>
          <w:sz w:val="22"/>
          <w:szCs w:val="22"/>
        </w:rPr>
        <w:t xml:space="preserve">La plateforme Ymmo elle-même est développée en interne (Node.js, MySQL, technologies open source) : elle n'engendre pas de coût de licence applicative.</w:t>
      </w:r>
    </w:p>
    <w:p>
      <w:r>
        <w:br w:type="page"/>
      </w:r>
    </w:p>
    <w:p>
      <w:pPr>
        <w:pStyle w:val="Heading1"/>
      </w:pPr>
      <w:r>
        <w:rPr>
          <w:rFonts w:ascii="Arial" w:cs="Arial" w:eastAsia="Arial" w:hAnsi="Arial"/>
        </w:rPr>
        <w:t xml:space="preserve">5. Synthèse budgétaire</w:t>
      </w:r>
    </w:p>
    <w:p>
      <w:pPr>
        <w:pStyle w:val="Heading2"/>
      </w:pPr>
      <w:r>
        <w:rPr>
          <w:rFonts w:ascii="Arial" w:cs="Arial" w:eastAsia="Arial" w:hAnsi="Arial"/>
        </w:rPr>
        <w:t xml:space="preserve">5.1. Investissement initial (CAPEX)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Poste</w:t>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Montant (€ HT)</w:t>
            </w:r>
          </w:p>
        </w:tc>
      </w:tr>
      <w:tr>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Matériel du siège</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52 200</w:t>
            </w:r>
          </w:p>
        </w:tc>
      </w:tr>
      <w:tr>
        <w:tc>
          <w:tcPr>
            <w:tcW w:type="dxa" w:w="6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Matériel des 12 agences</w:t>
            </w:r>
          </w:p>
        </w:tc>
        <w:tc>
          <w:tcPr>
            <w:tcW w:type="dxa" w:w="3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78 600</w:t>
            </w:r>
          </w:p>
        </w:tc>
      </w:tr>
      <w:tr>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Prestation d'installation et configuration (estimation)</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15 000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INVESTISSEMENT INITIAL</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145 800 € HT</w:t>
            </w:r>
          </w:p>
        </w:tc>
      </w:tr>
    </w:tbl>
    <w:p>
      <w:pPr>
        <w:pStyle w:val="Heading2"/>
      </w:pPr>
      <w:r>
        <w:rPr>
          <w:rFonts w:ascii="Arial" w:cs="Arial" w:eastAsia="Arial" w:hAnsi="Arial"/>
        </w:rPr>
        <w:t xml:space="preserve">5.2. Coûts récurrents annuels (OPEX)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Poste</w:t>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Montant annuel (€ HT)</w:t>
            </w:r>
          </w:p>
        </w:tc>
      </w:tr>
      <w:tr>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Licences logicielles</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21 600</w:t>
            </w:r>
          </w:p>
        </w:tc>
      </w:tr>
      <w:tr>
        <w:tc>
          <w:tcPr>
            <w:tcW w:type="dxa" w:w="6000"/>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Liens Internet et VPN (13 sites)</w:t>
            </w:r>
          </w:p>
        </w:tc>
        <w:tc>
          <w:tcPr>
            <w:tcW w:type="dxa" w:w="3026"/>
            <w:tcBorders>
              <w:top w:val="single" w:color="BBBBBB" w:sz="1"/>
              <w:left w:val="single" w:color="BBBBBB" w:sz="1"/>
              <w:bottom w:val="single" w:color="BBBBBB" w:sz="1"/>
              <w:right w:val="single" w:color="BBBBBB" w:sz="1"/>
            </w:tcBorders>
            <w:shd w:fill="EEF3FA"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9 000</w:t>
            </w:r>
          </w:p>
        </w:tc>
      </w:tr>
      <w:tr>
        <w:tc>
          <w:tcPr>
            <w:tcW w:type="dxa" w:w="6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Maintenance et support matériel</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6 000</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TOTAL COÛTS RÉCURRENTS</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 36 600 € / an</w:t>
            </w:r>
          </w:p>
        </w:tc>
      </w:tr>
    </w:tbl>
    <w:p>
      <w:pPr>
        <w:pStyle w:val="Heading2"/>
      </w:pPr>
      <w:r>
        <w:rPr>
          <w:rFonts w:ascii="Arial" w:cs="Arial" w:eastAsia="Arial" w:hAnsi="Arial"/>
        </w:rPr>
        <w:t xml:space="preserve">5.3. Lecture du budget</w:t>
      </w:r>
    </w:p>
    <w:p>
      <w:pPr>
        <w:spacing w:after="160" w:before="0"/>
        <w:jc w:val="both"/>
      </w:pPr>
      <w:r>
        <w:rPr>
          <w:rFonts w:ascii="Arial" w:cs="Arial" w:eastAsia="Arial" w:hAnsi="Arial"/>
          <w:b w:val="false"/>
          <w:bCs w:val="false"/>
          <w:i w:val="false"/>
          <w:iCs w:val="false"/>
          <w:color w:val="000000"/>
          <w:sz w:val="22"/>
          <w:szCs w:val="22"/>
        </w:rPr>
        <w:t xml:space="preserve">L'investissement initial est dominé par les postes de travail et les serveurs, conformément à un parc de cette taille. Le poste « agences » dépasse celui du siège du fait de leur nombre (12 sites), bien que chaque agence soit légère individuellement. Les coûts récurrents sont principalement portés par les licences Microsoft 365 et les liaisons réseau des 13 sites.</w:t>
      </w:r>
    </w:p>
    <w:p>
      <w:pPr>
        <w:spacing w:after="160" w:before="0"/>
        <w:jc w:val="both"/>
      </w:pPr>
      <w:r>
        <w:rPr>
          <w:rFonts w:ascii="Arial" w:cs="Arial" w:eastAsia="Arial" w:hAnsi="Arial"/>
          <w:b w:val="false"/>
          <w:bCs w:val="false"/>
          <w:i w:val="false"/>
          <w:iCs w:val="false"/>
          <w:color w:val="000000"/>
          <w:sz w:val="22"/>
          <w:szCs w:val="22"/>
        </w:rPr>
        <w:t xml:space="preserve">Ce chiffrage on-premise constitue le point de comparaison avec la proposition cloud étudiée par ailleurs : une partie de l'investissement initial (serveurs, sauvegarde) et des coûts récurrents (maintenance matérielle) serait transférée vers un abonnement mensuel en cas de migration vers Azure. La décision entre les deux modèles relève d'un arbitrage entre maîtrise de l'investissement et souplesse de fonctionnement, à apprécier au regard de la stratégie d'Ymmo.</w:t>
      </w:r>
    </w:p>
    <w:p>
      <w:pPr>
        <w:spacing w:after="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spacing w:before="0"/>
      <w:jc w:val="center"/>
    </w:pPr>
    <w:r>
      <w:rPr>
        <w:rFonts w:ascii="Arial" w:cs="Arial" w:eastAsia="Arial" w:hAnsi="Arial"/>
        <w:color w:val="888888"/>
        <w:sz w:val="16"/>
        <w:szCs w:val="16"/>
      </w:rPr>
      <w:t xml:space="preserve">Infrastructure réseau — Pôle IT &amp; Support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0"/>
      <w:jc w:val="right"/>
    </w:pPr>
    <w:r>
      <w:rPr>
        <w:rFonts w:ascii="Arial" w:cs="Arial" w:eastAsia="Arial" w:hAnsi="Arial"/>
        <w:color w:val="888888"/>
        <w:sz w:val="16"/>
        <w:szCs w:val="16"/>
      </w:rPr>
      <w:t xml:space="preserve">Projet Ymmo — Liste du matériel et budget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2026-06-11T15:27:02.572Z</dcterms:created>
  <dcterms:modified xsi:type="dcterms:W3CDTF">2026-06-11T15:27:02.572Z</dcterms:modified>
</cp:coreProperties>
</file>

<file path=docProps/custom.xml><?xml version="1.0" encoding="utf-8"?>
<Properties xmlns="http://schemas.openxmlformats.org/officeDocument/2006/custom-properties" xmlns:vt="http://schemas.openxmlformats.org/officeDocument/2006/docPropsVTypes"/>
</file>