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PGA-UNet: A Lightweight Prompt-Guided Attention U-Net</w:t>
        <w:br/>
        <w:t>for Interactive Bone X-Ray Lesion Segmentation</w:t>
      </w:r>
    </w:p>
    <w:p>
      <w:pPr>
        <w:jc w:val="center"/>
      </w:pPr>
      <w:r>
        <w:rPr>
          <w:rFonts w:ascii="Arial" w:hAnsi="Arial"/>
          <w:b/>
          <w:color w:val="FF0000"/>
          <w:sz w:val="26"/>
        </w:rPr>
        <w:t>IEEE ACCESS — EDITORIAL REDLINE REVISION</w:t>
      </w:r>
    </w:p>
    <w:p>
      <w:pPr>
        <w:spacing w:after="120" w:line="240" w:lineRule="auto"/>
        <w:ind w:firstLine="0"/>
        <w:jc w:val="both"/>
      </w:pPr>
      <w:r>
        <w:rPr>
          <w:rFonts w:ascii="Times New Roman" w:hAnsi="Times New Roman"/>
          <w:b/>
          <w:i w:val="0"/>
          <w:color w:val="FF0000"/>
          <w:sz w:val="20"/>
        </w:rPr>
        <w:t>Purpose: this file revises the manuscript to make the claims more defensible and the presentation closer to IEEE Access expectations. Red text identifies revised/added material. Red bracketed AUTHOR ACTION items require new experiments, author information, or verification; they must be resolved and removed before submission.</w:t>
      </w:r>
    </w:p>
    <w:p>
      <w:pPr>
        <w:spacing w:after="160" w:line="240" w:lineRule="auto"/>
        <w:ind w:firstLine="0"/>
        <w:jc w:val="both"/>
      </w:pPr>
      <w:r>
        <w:rPr>
          <w:rFonts w:ascii="Times New Roman" w:hAnsi="Times New Roman"/>
          <w:b w:val="0"/>
          <w:i/>
          <w:color w:val="FF0000"/>
          <w:sz w:val="20"/>
        </w:rPr>
        <w:t>Important: no experimental values have been invented. Where the current manuscript does not contain evidence needed for a stronger claim, the claim is narrowed or an explicit pre-submission experiment is requested.</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Times New Roman" w:hAnsi="Times New Roman"/>
                <w:b/>
                <w:sz w:val="16"/>
              </w:rPr>
              <w:t>Priority</w:t>
            </w:r>
          </w:p>
        </w:tc>
        <w:tc>
          <w:tcPr>
            <w:tcW w:type="dxa" w:w="3408"/>
            <w:vAlign w:val="center"/>
            <w:shd w:fill="D9EAF7"/>
          </w:tcPr>
          <w:p>
            <w:r/>
            <w:r>
              <w:rPr>
                <w:rFonts w:ascii="Times New Roman" w:hAnsi="Times New Roman"/>
                <w:b/>
                <w:sz w:val="16"/>
              </w:rPr>
              <w:t>Required before submission</w:t>
            </w:r>
          </w:p>
        </w:tc>
        <w:tc>
          <w:tcPr>
            <w:tcW w:type="dxa" w:w="3408"/>
            <w:vAlign w:val="center"/>
            <w:shd w:fill="D9EAF7"/>
          </w:tcPr>
          <w:p>
            <w:r/>
            <w:r>
              <w:rPr>
                <w:rFonts w:ascii="Times New Roman" w:hAnsi="Times New Roman"/>
                <w:b/>
                <w:sz w:val="16"/>
              </w:rPr>
              <w:t>Concrete change</w:t>
            </w:r>
          </w:p>
        </w:tc>
      </w:tr>
      <w:tr>
        <w:tc>
          <w:tcPr>
            <w:tcW w:type="dxa" w:w="3408"/>
            <w:vAlign w:val="center"/>
          </w:tcPr>
          <w:p>
            <w:r/>
            <w:r>
              <w:rPr>
                <w:rFonts w:ascii="Times New Roman" w:hAnsi="Times New Roman"/>
                <w:b w:val="0"/>
                <w:sz w:val="16"/>
              </w:rPr>
              <w:t>1</w:t>
            </w:r>
          </w:p>
        </w:tc>
        <w:tc>
          <w:tcPr>
            <w:tcW w:type="dxa" w:w="3408"/>
            <w:vAlign w:val="center"/>
          </w:tcPr>
          <w:p>
            <w:r/>
            <w:r>
              <w:rPr>
                <w:rFonts w:ascii="Times New Roman" w:hAnsi="Times New Roman"/>
                <w:b w:val="0"/>
                <w:sz w:val="16"/>
              </w:rPr>
              <w:t>Add fair prompt-matched conventional baselines</w:t>
            </w:r>
          </w:p>
        </w:tc>
        <w:tc>
          <w:tcPr>
            <w:tcW w:type="dxa" w:w="3408"/>
            <w:vAlign w:val="center"/>
          </w:tcPr>
          <w:p>
            <w:r/>
            <w:r>
              <w:rPr>
                <w:rFonts w:ascii="Times New Roman" w:hAnsi="Times New Roman"/>
                <w:b w:val="0"/>
                <w:sz w:val="16"/>
              </w:rPr>
              <w:t>Box-channel U-Net/Attention U-Net and crop-then-segment baseline using the same box input.</w:t>
            </w:r>
          </w:p>
        </w:tc>
      </w:tr>
      <w:tr>
        <w:tc>
          <w:tcPr>
            <w:tcW w:type="dxa" w:w="3408"/>
            <w:vAlign w:val="center"/>
          </w:tcPr>
          <w:p>
            <w:r/>
            <w:r>
              <w:rPr>
                <w:rFonts w:ascii="Times New Roman" w:hAnsi="Times New Roman"/>
                <w:b w:val="0"/>
                <w:sz w:val="16"/>
              </w:rPr>
              <w:t>2</w:t>
            </w:r>
          </w:p>
        </w:tc>
        <w:tc>
          <w:tcPr>
            <w:tcW w:type="dxa" w:w="3408"/>
            <w:vAlign w:val="center"/>
          </w:tcPr>
          <w:p>
            <w:r/>
            <w:r>
              <w:rPr>
                <w:rFonts w:ascii="Times New Roman" w:hAnsi="Times New Roman"/>
                <w:b w:val="0"/>
                <w:sz w:val="16"/>
              </w:rPr>
              <w:t>Strengthen prompt robustness evaluation</w:t>
            </w:r>
          </w:p>
        </w:tc>
        <w:tc>
          <w:tcPr>
            <w:tcW w:type="dxa" w:w="3408"/>
            <w:vAlign w:val="center"/>
          </w:tcPr>
          <w:p>
            <w:r/>
            <w:r>
              <w:rPr>
                <w:rFonts w:ascii="Times New Roman" w:hAnsi="Times New Roman"/>
                <w:b w:val="0"/>
                <w:sz w:val="16"/>
              </w:rPr>
              <w:t>Include larger boxes, partial lesion coverage, stronger shifts, and negative/background boxes; do not claim clinical robustness from GT-derived boxes alone.</w:t>
            </w:r>
          </w:p>
        </w:tc>
      </w:tr>
      <w:tr>
        <w:tc>
          <w:tcPr>
            <w:tcW w:type="dxa" w:w="3408"/>
            <w:vAlign w:val="center"/>
          </w:tcPr>
          <w:p>
            <w:r/>
            <w:r>
              <w:rPr>
                <w:rFonts w:ascii="Times New Roman" w:hAnsi="Times New Roman"/>
                <w:b w:val="0"/>
                <w:sz w:val="16"/>
              </w:rPr>
              <w:t>3</w:t>
            </w:r>
          </w:p>
        </w:tc>
        <w:tc>
          <w:tcPr>
            <w:tcW w:type="dxa" w:w="3408"/>
            <w:vAlign w:val="center"/>
          </w:tcPr>
          <w:p>
            <w:r/>
            <w:r>
              <w:rPr>
                <w:rFonts w:ascii="Times New Roman" w:hAnsi="Times New Roman"/>
                <w:b w:val="0"/>
                <w:sz w:val="16"/>
              </w:rPr>
              <w:t>Make statistical comparison paired</w:t>
            </w:r>
          </w:p>
        </w:tc>
        <w:tc>
          <w:tcPr>
            <w:tcW w:type="dxa" w:w="3408"/>
            <w:vAlign w:val="center"/>
          </w:tcPr>
          <w:p>
            <w:r/>
            <w:r>
              <w:rPr>
                <w:rFonts w:ascii="Times New Roman" w:hAnsi="Times New Roman"/>
                <w:b w:val="0"/>
                <w:sz w:val="16"/>
              </w:rPr>
              <w:t>Run PGA-UNet and main prompt baselines on the same repeated splits/seeds and report 95% CI or paired bootstrap; repeat key ablations.</w:t>
            </w:r>
          </w:p>
        </w:tc>
      </w:tr>
      <w:tr>
        <w:tc>
          <w:tcPr>
            <w:tcW w:type="dxa" w:w="3408"/>
            <w:vAlign w:val="center"/>
          </w:tcPr>
          <w:p>
            <w:r/>
            <w:r>
              <w:rPr>
                <w:rFonts w:ascii="Times New Roman" w:hAnsi="Times New Roman"/>
                <w:b w:val="0"/>
                <w:sz w:val="16"/>
              </w:rPr>
              <w:t>4</w:t>
            </w:r>
          </w:p>
        </w:tc>
        <w:tc>
          <w:tcPr>
            <w:tcW w:type="dxa" w:w="3408"/>
            <w:vAlign w:val="center"/>
          </w:tcPr>
          <w:p>
            <w:r/>
            <w:r>
              <w:rPr>
                <w:rFonts w:ascii="Times New Roman" w:hAnsi="Times New Roman"/>
                <w:b w:val="0"/>
                <w:sz w:val="16"/>
              </w:rPr>
              <w:t>Strengthen related work and baselines</w:t>
            </w:r>
          </w:p>
        </w:tc>
        <w:tc>
          <w:tcPr>
            <w:tcW w:type="dxa" w:w="3408"/>
            <w:vAlign w:val="center"/>
          </w:tcPr>
          <w:p>
            <w:r/>
            <w:r>
              <w:rPr>
                <w:rFonts w:ascii="Times New Roman" w:hAnsi="Times New Roman"/>
                <w:b w:val="0"/>
                <w:sz w:val="16"/>
              </w:rPr>
              <w:t>Position against MedSAM, ScribblePrompt, Med-SA/efficient SAM variants; ideally add at least one additional prompt-based experimental baseline.</w:t>
            </w:r>
          </w:p>
        </w:tc>
      </w:tr>
      <w:tr>
        <w:tc>
          <w:tcPr>
            <w:tcW w:type="dxa" w:w="3408"/>
            <w:vAlign w:val="center"/>
          </w:tcPr>
          <w:p>
            <w:r/>
            <w:r>
              <w:rPr>
                <w:rFonts w:ascii="Times New Roman" w:hAnsi="Times New Roman"/>
                <w:b w:val="0"/>
                <w:sz w:val="16"/>
              </w:rPr>
              <w:t>5</w:t>
            </w:r>
          </w:p>
        </w:tc>
        <w:tc>
          <w:tcPr>
            <w:tcW w:type="dxa" w:w="3408"/>
            <w:vAlign w:val="center"/>
          </w:tcPr>
          <w:p>
            <w:r/>
            <w:r>
              <w:rPr>
                <w:rFonts w:ascii="Times New Roman" w:hAnsi="Times New Roman"/>
                <w:b w:val="0"/>
                <w:sz w:val="16"/>
              </w:rPr>
              <w:t>Fix validity/presentation issues</w:t>
            </w:r>
          </w:p>
        </w:tc>
        <w:tc>
          <w:tcPr>
            <w:tcW w:type="dxa" w:w="3408"/>
            <w:vAlign w:val="center"/>
          </w:tcPr>
          <w:p>
            <w:r/>
            <w:r>
              <w:rPr>
                <w:rFonts w:ascii="Times New Roman" w:hAnsi="Times New Roman"/>
                <w:b w:val="0"/>
                <w:sz w:val="16"/>
              </w:rPr>
              <w:t>Resolve affiliation/biography placeholders, metric inconsistency, “50 lesions” vs “50 images”, IEEE template year/DOI placeholders, and patient-level split limitation.</w:t>
            </w:r>
          </w:p>
        </w:tc>
      </w:tr>
    </w:tbl>
    <w:p>
      <w:pPr>
        <w:spacing w:after="20"/>
      </w:pPr>
    </w:p>
    <w:p>
      <w:r>
        <w:br w:type="page"/>
      </w:r>
    </w:p>
    <w:p>
      <w:pPr>
        <w:spacing w:after="80" w:line="240" w:lineRule="auto"/>
        <w:ind w:firstLine="0"/>
      </w:pPr>
      <w:r>
        <w:rPr>
          <w:rFonts w:ascii="Times New Roman" w:hAnsi="Times New Roman"/>
          <w:b w:val="0"/>
          <w:i w:val="0"/>
          <w:color w:val="FF0000"/>
          <w:sz w:val="18"/>
        </w:rPr>
        <w:t>Manuscript revised [AUTHOR TO UPDATE DATE].</w:t>
      </w:r>
    </w:p>
    <w:p>
      <w:pPr>
        <w:spacing w:after="120" w:line="240" w:lineRule="auto"/>
        <w:ind w:firstLine="0"/>
        <w:jc w:val="center"/>
      </w:pPr>
      <w:r>
        <w:rPr>
          <w:rFonts w:ascii="Times New Roman" w:hAnsi="Times New Roman"/>
          <w:b/>
          <w:i w:val="0"/>
          <w:sz w:val="36"/>
        </w:rPr>
        <w:t>PGA-UNet: A Lightweight Prompt-Guided Attention U-Net for Interactive Bone X-Ray Lesion Segmentation</w:t>
      </w:r>
    </w:p>
    <w:p>
      <w:pPr>
        <w:spacing w:after="80" w:line="240" w:lineRule="auto"/>
        <w:ind w:firstLine="0"/>
        <w:jc w:val="center"/>
      </w:pPr>
      <w:r>
        <w:rPr>
          <w:rFonts w:ascii="Times New Roman" w:hAnsi="Times New Roman"/>
          <w:b/>
          <w:i w:val="0"/>
          <w:sz w:val="21"/>
        </w:rPr>
        <w:t>THONG LUC¹, HUU-BINH NGUYEN¹, LY QUOC NGOC²</w:t>
      </w:r>
    </w:p>
    <w:p>
      <w:pPr>
        <w:spacing w:after="80" w:line="240" w:lineRule="auto"/>
        <w:ind w:firstLine="0"/>
        <w:jc w:val="center"/>
      </w:pPr>
      <w:r>
        <w:rPr>
          <w:rFonts w:ascii="Times New Roman" w:hAnsi="Times New Roman"/>
          <w:b w:val="0"/>
          <w:i w:val="0"/>
          <w:sz w:val="18"/>
        </w:rPr>
        <w:t>¹ B.Sc. Program in Computer Science, Faculty of Information Technology, University of Science, VNU-HCM, Vietnam</w:t>
      </w:r>
    </w:p>
    <w:p>
      <w:pPr>
        <w:spacing w:after="80" w:line="240" w:lineRule="auto"/>
        <w:ind w:firstLine="0"/>
        <w:jc w:val="center"/>
      </w:pPr>
      <w:r>
        <w:rPr>
          <w:rFonts w:ascii="Times New Roman" w:hAnsi="Times New Roman"/>
          <w:b/>
          <w:i w:val="0"/>
          <w:color w:val="FF0000"/>
          <w:sz w:val="18"/>
        </w:rPr>
        <w:t>² [AUTHOR ACTION: replace with the verified affiliation of Ly Quoc Ngoc before submission.]</w:t>
      </w:r>
    </w:p>
    <w:p>
      <w:pPr>
        <w:spacing w:after="160" w:line="240" w:lineRule="auto"/>
        <w:ind w:firstLine="0"/>
        <w:jc w:val="center"/>
      </w:pPr>
      <w:r>
        <w:rPr>
          <w:rFonts w:ascii="Times New Roman" w:hAnsi="Times New Roman"/>
          <w:b w:val="0"/>
          <w:i w:val="0"/>
          <w:sz w:val="18"/>
        </w:rPr>
        <w:t>Corresponding author: Thong Luc (e-mail: 22120196@student.hcmus.edu.vn).</w:t>
      </w:r>
    </w:p>
    <w:p>
      <w:pPr>
        <w:spacing w:before="160" w:after="80"/>
      </w:pPr>
      <w:r>
        <w:rPr>
          <w:rFonts w:ascii="Arial" w:hAnsi="Arial"/>
          <w:b/>
          <w:sz w:val="22"/>
        </w:rPr>
        <w:t>ABSTRACT</w:t>
      </w:r>
    </w:p>
    <w:p>
      <w:pPr>
        <w:spacing w:after="120" w:line="240" w:lineRule="auto"/>
        <w:ind w:firstLine="0"/>
        <w:jc w:val="both"/>
      </w:pPr>
      <w:r>
        <w:rPr>
          <w:rFonts w:ascii="Times New Roman" w:hAnsi="Times New Roman"/>
          <w:b w:val="0"/>
          <w:i w:val="0"/>
          <w:color w:val="FF0000"/>
          <w:sz w:val="19"/>
        </w:rPr>
        <w:t>Bone X-ray lesion segmentation is challenging when abnormalities are small, low-contrast, or visually entangled with surrounding anatomy. In such cases, localization can be a dominant source of error before boundary refinement begins. We propose PGA-UNet, a lightweight prompt-guided convolutional network for interactive segmentation in which a user-provided bounding box is converted into a Gaussian-smoothed plateau heatmap, injected into encoder features through a Prompt Spatial Gate (PSG), and reused in the decoder through a Conditional Attention Decoder (CAD). The design treats the prompt as a dense spatial prior that remains active across the encoder-decoder pathway. We evaluate PGA-UNet on BTXRD and FracAtlas using controlled simulated covering and off-center box prompts. At 256×256 resolution, PGA-UNet achieves higher Dice than fine-tuned SAM-Med2D under both prompt conditions on both datasets; the advantage is largest on the 50 test images with the smallest total lesion area. At 512×512, PGA-UNet reaches Dice scores of 0.8788 on BTXRD and 0.8286 on FracAtlas under covering prompts. The full PSG+CAD+Gaussian configuration is the best-performing ablation setting on both datasets, and the 2.95M-parameter model is substantially smaller and faster than SAM-Med2D in the tested environment. These findings support the effectiveness of sustained prompt conditioning for small radiographic lesions under the controlled prompt protocol used here. Because the prompts are generated from ground-truth annotations rather than drawn by radiologists, clinical prompt robustness and workflow effectiveness remain to be established in future user-based evaluation.</w:t>
      </w:r>
    </w:p>
    <w:p>
      <w:pPr>
        <w:spacing w:after="160" w:line="240" w:lineRule="auto"/>
        <w:ind w:firstLine="0"/>
      </w:pPr>
      <w:r>
        <w:rPr>
          <w:rFonts w:ascii="Times New Roman" w:hAnsi="Times New Roman"/>
          <w:b w:val="0"/>
          <w:i w:val="0"/>
          <w:color w:val="FF0000"/>
          <w:sz w:val="18"/>
        </w:rPr>
        <w:t>INDEX TERMS — bone X-ray, interactive segmentation, medical image segmentation, prompt-guided learning, small-lesion segmentation, lightweight neural networks.</w:t>
      </w:r>
    </w:p>
    <w:p>
      <w:pPr>
        <w:spacing w:before="160" w:after="80"/>
      </w:pPr>
      <w:r>
        <w:rPr>
          <w:rFonts w:ascii="Arial" w:hAnsi="Arial"/>
          <w:b/>
          <w:sz w:val="22"/>
        </w:rPr>
        <w:t>I. INTRODUCTION</w:t>
      </w:r>
    </w:p>
    <w:p>
      <w:pPr>
        <w:spacing w:after="80" w:line="240" w:lineRule="auto"/>
        <w:ind w:firstLine="259"/>
        <w:jc w:val="both"/>
      </w:pPr>
      <w:r>
        <w:rPr>
          <w:rFonts w:ascii="Times New Roman" w:hAnsi="Times New Roman"/>
          <w:b w:val="0"/>
          <w:i w:val="0"/>
          <w:color w:val="FF0000"/>
          <w:sz w:val="20"/>
        </w:rPr>
        <w:t>Bone X-ray imaging is widely used for diagnostic support and follow-up because of its speed, low cost, and broad availability. Lesion segmentation remains difficult when the target occupies only a small fraction of the radiograph, exhibits weak contrast, or overlaps with complex anatomy. In these settings, a segmentation model must first identify the relevant region and then delineate its boundary; errors in localization can therefore dominate the final overlap score.</w:t>
      </w:r>
    </w:p>
    <w:p>
      <w:pPr>
        <w:spacing w:after="80" w:line="240" w:lineRule="auto"/>
        <w:ind w:firstLine="259"/>
        <w:jc w:val="both"/>
      </w:pPr>
      <w:r>
        <w:rPr>
          <w:rFonts w:ascii="Times New Roman" w:hAnsi="Times New Roman"/>
          <w:b w:val="0"/>
          <w:i w:val="0"/>
          <w:color w:val="FF0000"/>
          <w:sz w:val="20"/>
        </w:rPr>
        <w:t>One way to reduce this search burden is interactive segmentation, in which a user provides coarse spatial guidance such as a click, scribble, or bounding box. The purpose of the prompt is not to replace segmentation but to transfer part of the localization burden from the model to the user. Recent promptable foundation models, including SAM, SAM-Med2D, and MedSAM, have made this interaction paradigm increasingly practical, but their size and general-purpose design may be unnecessary for a task-specific radiographic workflow [1], [2], [9].</w:t>
      </w:r>
    </w:p>
    <w:p>
      <w:pPr>
        <w:spacing w:after="80" w:line="240" w:lineRule="auto"/>
        <w:ind w:firstLine="259"/>
        <w:jc w:val="both"/>
      </w:pPr>
      <w:r>
        <w:rPr>
          <w:rFonts w:ascii="Times New Roman" w:hAnsi="Times New Roman"/>
          <w:b w:val="0"/>
          <w:i w:val="0"/>
          <w:color w:val="FF0000"/>
          <w:sz w:val="20"/>
        </w:rPr>
        <w:t>This work asks a narrower architectural question: once a coarse box has already indicated the suspicious region, should the prompt be used only as an input cue for mask generation, or can sustained prompt conditioning help preserve weak lesion evidence through downsampling and decoding? We address this question with PGA-UNet, a lightweight prompt-guided CNN that represents the box as a Gaussian-smoothed plateau map, modulates encoder features with PSG, and conditions decoder attention with CAD.</w:t>
      </w:r>
    </w:p>
    <w:p>
      <w:pPr>
        <w:spacing w:after="80" w:line="240" w:lineRule="auto"/>
        <w:ind w:firstLine="259"/>
        <w:jc w:val="both"/>
      </w:pPr>
      <w:r>
        <w:rPr>
          <w:rFonts w:ascii="Times New Roman" w:hAnsi="Times New Roman"/>
          <w:b w:val="0"/>
          <w:i w:val="0"/>
          <w:color w:val="FF0000"/>
          <w:sz w:val="20"/>
        </w:rPr>
        <w:t>The comparison with prompt-free Attention U-Net is used only to illustrate the difficulty of full-image automatic localization and is not a like-for-like architectural comparison. The principal prompt-matched comparison in the current manuscript is fine-tuned SAM-Med2D, which receives the same box type and is evaluated at the same 256×256 resolution. Accordingly, the paper does not claim that PGA-UNet is intrinsically superior to Attention U-Net when both models receive equivalent spatial information.</w:t>
      </w:r>
    </w:p>
    <w:p>
      <w:pPr>
        <w:spacing w:after="80" w:line="240" w:lineRule="auto"/>
        <w:ind w:firstLine="0"/>
      </w:pPr>
      <w:r>
        <w:rPr>
          <w:rFonts w:ascii="Times New Roman" w:hAnsi="Times New Roman"/>
          <w:b/>
          <w:i w:val="0"/>
          <w:color w:val="FF0000"/>
          <w:sz w:val="20"/>
        </w:rPr>
        <w:t>The contributions are summarized as follows:</w:t>
      </w:r>
    </w:p>
    <w:p>
      <w:pPr>
        <w:spacing w:after="60"/>
        <w:ind w:left="360" w:hanging="216"/>
      </w:pPr>
      <w:r>
        <w:rPr>
          <w:rFonts w:ascii="Times New Roman" w:hAnsi="Times New Roman"/>
          <w:color w:val="FF0000"/>
          <w:sz w:val="20"/>
        </w:rPr>
        <w:t>• We propose PGA-UNet, a 2.95M-parameter prompt-guided CNN that keeps a box-derived spatial prior active across both encoder and decoder stages.</w:t>
      </w:r>
    </w:p>
    <w:p>
      <w:pPr>
        <w:spacing w:after="60"/>
        <w:ind w:left="360" w:hanging="216"/>
      </w:pPr>
      <w:r>
        <w:rPr>
          <w:rFonts w:ascii="Times New Roman" w:hAnsi="Times New Roman"/>
          <w:color w:val="FF0000"/>
          <w:sz w:val="20"/>
        </w:rPr>
        <w:t>• We introduce a prompt-conditioning design combining a Gaussian-smoothed plateau representation, encoder-side PSG, and decoder-side CAD, and evaluate their interaction through component ablation.</w:t>
      </w:r>
    </w:p>
    <w:p>
      <w:pPr>
        <w:spacing w:after="60"/>
        <w:ind w:left="360" w:hanging="216"/>
      </w:pPr>
      <w:r>
        <w:rPr>
          <w:rFonts w:ascii="Times New Roman" w:hAnsi="Times New Roman"/>
          <w:color w:val="FF0000"/>
          <w:sz w:val="20"/>
        </w:rPr>
        <w:t>• We evaluate the model on two bone-radiograph datasets under matched simulated box prompts, with dedicated small-lesion and efficiency analyses; the conclusions are explicitly limited to this controlled prompt setting.</w:t>
      </w:r>
    </w:p>
    <w:p>
      <w:pPr>
        <w:spacing w:before="160" w:after="80"/>
      </w:pPr>
      <w:r>
        <w:rPr>
          <w:rFonts w:ascii="Arial" w:hAnsi="Arial"/>
          <w:b/>
          <w:sz w:val="22"/>
        </w:rPr>
        <w:t>II. RELATED WORK</w:t>
      </w:r>
    </w:p>
    <w:p>
      <w:pPr>
        <w:spacing w:after="80" w:line="240" w:lineRule="auto"/>
        <w:ind w:firstLine="259"/>
        <w:jc w:val="both"/>
      </w:pPr>
      <w:r>
        <w:rPr>
          <w:rFonts w:ascii="Times New Roman" w:hAnsi="Times New Roman"/>
          <w:b w:val="0"/>
          <w:i w:val="0"/>
          <w:color w:val="FF0000"/>
          <w:sz w:val="20"/>
        </w:rPr>
        <w:t>Conventional biomedical segmentation methods such as U-Net and Attention U-Net established strong encoder-decoder baselines, while nnU-Net later demonstrated the importance of systematically adapting preprocessing, architecture, and training configuration to the dataset [3], [4], [10]. These methods are fully automatic and therefore must learn both localization and boundary delineation from the image alone.</w:t>
      </w:r>
    </w:p>
    <w:p>
      <w:pPr>
        <w:spacing w:after="80" w:line="240" w:lineRule="auto"/>
        <w:ind w:firstLine="259"/>
        <w:jc w:val="both"/>
      </w:pPr>
      <w:r>
        <w:rPr>
          <w:rFonts w:ascii="Times New Roman" w:hAnsi="Times New Roman"/>
          <w:b w:val="0"/>
          <w:i w:val="0"/>
          <w:color w:val="FF0000"/>
          <w:sz w:val="20"/>
        </w:rPr>
        <w:t>Interactive segmentation reduces the localization burden by incorporating user input. Early systems used clicks, scribbles, geodesic cues, or related interaction signals [5], [6]. More recently, ScribblePrompt showed that a single interactive framework can support scribbles, clicks, and bounding boxes across diverse biomedical images, including X-rays [11]. Such work is particularly relevant to the present study because it emphasizes that prompt simulation and realistic user interaction are part of the method, not merely implementation details.</w:t>
      </w:r>
    </w:p>
    <w:p>
      <w:pPr>
        <w:spacing w:after="80" w:line="240" w:lineRule="auto"/>
        <w:ind w:firstLine="259"/>
        <w:jc w:val="both"/>
      </w:pPr>
      <w:r>
        <w:rPr>
          <w:rFonts w:ascii="Times New Roman" w:hAnsi="Times New Roman"/>
          <w:b w:val="0"/>
          <w:i w:val="0"/>
          <w:color w:val="FF0000"/>
          <w:sz w:val="20"/>
        </w:rPr>
        <w:t>Promptable foundation models have further expanded this paradigm. SAM provides general-purpose promptable segmentation [1]; SAM-Med2D and MedSAM adapt promptable segmentation to medical images [2], [9]. Subsequent work has explored parameter-efficient adaptation and smaller medical SAM variants, including Med-SA and EMedSAM [12], [13]. These approaches provide useful reference points for accuracy, efficiency, and prompt handling, although their goals differ from a compact task-specific radiograph model.</w:t>
      </w:r>
    </w:p>
    <w:p>
      <w:pPr>
        <w:spacing w:after="80" w:line="240" w:lineRule="auto"/>
        <w:ind w:firstLine="259"/>
        <w:jc w:val="both"/>
      </w:pPr>
      <w:r>
        <w:rPr>
          <w:rFonts w:ascii="Times New Roman" w:hAnsi="Times New Roman"/>
          <w:b w:val="0"/>
          <w:i w:val="0"/>
          <w:color w:val="FF0000"/>
          <w:sz w:val="20"/>
        </w:rPr>
        <w:t>PGA-UNet is positioned as a lightweight specialist rather than a universal foundation model. Its distinctive design choice is to convert the box into a dense spatial prior and reuse that prior at multiple encoder and decoder levels. The experimental question is therefore whether this sustained conditioning improves small-lesion segmentation under matched box guidance, not whether prompting in general is superior to fully automatic segmentation.</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rFonts w:ascii="Times New Roman" w:hAnsi="Times New Roman"/>
                <w:b/>
                <w:sz w:val="14"/>
              </w:rPr>
              <w:t>Work</w:t>
            </w:r>
          </w:p>
        </w:tc>
        <w:tc>
          <w:tcPr>
            <w:tcW w:type="dxa" w:w="2045"/>
            <w:vAlign w:val="center"/>
            <w:shd w:fill="D9EAF7"/>
          </w:tcPr>
          <w:p>
            <w:r/>
            <w:r>
              <w:rPr>
                <w:rFonts w:ascii="Times New Roman" w:hAnsi="Times New Roman"/>
                <w:b/>
                <w:sz w:val="14"/>
              </w:rPr>
              <w:t>Setting</w:t>
            </w:r>
          </w:p>
        </w:tc>
        <w:tc>
          <w:tcPr>
            <w:tcW w:type="dxa" w:w="2045"/>
            <w:vAlign w:val="center"/>
            <w:shd w:fill="D9EAF7"/>
          </w:tcPr>
          <w:p>
            <w:r/>
            <w:r>
              <w:rPr>
                <w:rFonts w:ascii="Times New Roman" w:hAnsi="Times New Roman"/>
                <w:b/>
                <w:sz w:val="14"/>
              </w:rPr>
              <w:t>Prompt usage</w:t>
            </w:r>
          </w:p>
        </w:tc>
        <w:tc>
          <w:tcPr>
            <w:tcW w:type="dxa" w:w="2045"/>
            <w:vAlign w:val="center"/>
            <w:shd w:fill="D9EAF7"/>
          </w:tcPr>
          <w:p>
            <w:r/>
            <w:r>
              <w:rPr>
                <w:rFonts w:ascii="Times New Roman" w:hAnsi="Times New Roman"/>
                <w:b/>
                <w:sz w:val="14"/>
              </w:rPr>
              <w:t>Strength</w:t>
            </w:r>
          </w:p>
        </w:tc>
        <w:tc>
          <w:tcPr>
            <w:tcW w:type="dxa" w:w="2045"/>
            <w:vAlign w:val="center"/>
            <w:shd w:fill="D9EAF7"/>
          </w:tcPr>
          <w:p>
            <w:r/>
            <w:r>
              <w:rPr>
                <w:rFonts w:ascii="Times New Roman" w:hAnsi="Times New Roman"/>
                <w:b/>
                <w:sz w:val="14"/>
              </w:rPr>
              <w:t>Limitation/positioning</w:t>
            </w:r>
          </w:p>
        </w:tc>
      </w:tr>
      <w:tr>
        <w:tc>
          <w:tcPr>
            <w:tcW w:type="dxa" w:w="2045"/>
            <w:vAlign w:val="center"/>
          </w:tcPr>
          <w:p>
            <w:r/>
            <w:r>
              <w:rPr>
                <w:rFonts w:ascii="Times New Roman" w:hAnsi="Times New Roman"/>
                <w:b w:val="0"/>
                <w:sz w:val="14"/>
              </w:rPr>
              <w:t>U-Net / Attention U-Net [3], [4]</w:t>
            </w:r>
          </w:p>
        </w:tc>
        <w:tc>
          <w:tcPr>
            <w:tcW w:type="dxa" w:w="2045"/>
            <w:vAlign w:val="center"/>
          </w:tcPr>
          <w:p>
            <w:r/>
            <w:r>
              <w:rPr>
                <w:rFonts w:ascii="Times New Roman" w:hAnsi="Times New Roman"/>
                <w:b w:val="0"/>
                <w:sz w:val="14"/>
              </w:rPr>
              <w:t>Automatic segmentation</w:t>
            </w:r>
          </w:p>
        </w:tc>
        <w:tc>
          <w:tcPr>
            <w:tcW w:type="dxa" w:w="2045"/>
            <w:vAlign w:val="center"/>
          </w:tcPr>
          <w:p>
            <w:r/>
            <w:r>
              <w:rPr>
                <w:rFonts w:ascii="Times New Roman" w:hAnsi="Times New Roman"/>
                <w:b w:val="0"/>
                <w:sz w:val="14"/>
              </w:rPr>
              <w:t>No explicit user prompt</w:t>
            </w:r>
          </w:p>
        </w:tc>
        <w:tc>
          <w:tcPr>
            <w:tcW w:type="dxa" w:w="2045"/>
            <w:vAlign w:val="center"/>
          </w:tcPr>
          <w:p>
            <w:r/>
            <w:r>
              <w:rPr>
                <w:rFonts w:ascii="Times New Roman" w:hAnsi="Times New Roman"/>
                <w:b w:val="0"/>
                <w:sz w:val="14"/>
              </w:rPr>
              <w:t>Strong conventional baseline</w:t>
            </w:r>
          </w:p>
        </w:tc>
        <w:tc>
          <w:tcPr>
            <w:tcW w:type="dxa" w:w="2045"/>
            <w:vAlign w:val="center"/>
          </w:tcPr>
          <w:p>
            <w:r/>
            <w:r>
              <w:rPr>
                <w:rFonts w:ascii="Times New Roman" w:hAnsi="Times New Roman"/>
                <w:b w:val="0"/>
                <w:sz w:val="14"/>
              </w:rPr>
              <w:t>Must localize target automatically</w:t>
            </w:r>
          </w:p>
        </w:tc>
      </w:tr>
      <w:tr>
        <w:tc>
          <w:tcPr>
            <w:tcW w:type="dxa" w:w="2045"/>
            <w:vAlign w:val="center"/>
          </w:tcPr>
          <w:p>
            <w:r/>
            <w:r>
              <w:rPr>
                <w:rFonts w:ascii="Times New Roman" w:hAnsi="Times New Roman"/>
                <w:b w:val="0"/>
                <w:sz w:val="14"/>
              </w:rPr>
              <w:t>nnU-Net [10]</w:t>
            </w:r>
          </w:p>
        </w:tc>
        <w:tc>
          <w:tcPr>
            <w:tcW w:type="dxa" w:w="2045"/>
            <w:vAlign w:val="center"/>
          </w:tcPr>
          <w:p>
            <w:r/>
            <w:r>
              <w:rPr>
                <w:rFonts w:ascii="Times New Roman" w:hAnsi="Times New Roman"/>
                <w:b w:val="0"/>
                <w:sz w:val="14"/>
              </w:rPr>
              <w:t>Self-configuring automatic segmentation</w:t>
            </w:r>
          </w:p>
        </w:tc>
        <w:tc>
          <w:tcPr>
            <w:tcW w:type="dxa" w:w="2045"/>
            <w:vAlign w:val="center"/>
          </w:tcPr>
          <w:p>
            <w:r/>
            <w:r>
              <w:rPr>
                <w:rFonts w:ascii="Times New Roman" w:hAnsi="Times New Roman"/>
                <w:b w:val="0"/>
                <w:sz w:val="14"/>
              </w:rPr>
              <w:t>No explicit user prompt</w:t>
            </w:r>
          </w:p>
        </w:tc>
        <w:tc>
          <w:tcPr>
            <w:tcW w:type="dxa" w:w="2045"/>
            <w:vAlign w:val="center"/>
          </w:tcPr>
          <w:p>
            <w:r/>
            <w:r>
              <w:rPr>
                <w:rFonts w:ascii="Times New Roman" w:hAnsi="Times New Roman"/>
                <w:b w:val="0"/>
                <w:sz w:val="14"/>
              </w:rPr>
              <w:t>Strong task-adaptive framework</w:t>
            </w:r>
          </w:p>
        </w:tc>
        <w:tc>
          <w:tcPr>
            <w:tcW w:type="dxa" w:w="2045"/>
            <w:vAlign w:val="center"/>
          </w:tcPr>
          <w:p>
            <w:r/>
            <w:r>
              <w:rPr>
                <w:rFonts w:ascii="Times New Roman" w:hAnsi="Times New Roman"/>
                <w:b w:val="0"/>
                <w:sz w:val="14"/>
              </w:rPr>
              <w:t>Not designed for interactive guidance</w:t>
            </w:r>
          </w:p>
        </w:tc>
      </w:tr>
      <w:tr>
        <w:tc>
          <w:tcPr>
            <w:tcW w:type="dxa" w:w="2045"/>
            <w:vAlign w:val="center"/>
          </w:tcPr>
          <w:p>
            <w:r/>
            <w:r>
              <w:rPr>
                <w:rFonts w:ascii="Times New Roman" w:hAnsi="Times New Roman"/>
                <w:b w:val="0"/>
                <w:sz w:val="14"/>
              </w:rPr>
              <w:t>DeepIGeoS [6]</w:t>
            </w:r>
          </w:p>
        </w:tc>
        <w:tc>
          <w:tcPr>
            <w:tcW w:type="dxa" w:w="2045"/>
            <w:vAlign w:val="center"/>
          </w:tcPr>
          <w:p>
            <w:r/>
            <w:r>
              <w:rPr>
                <w:rFonts w:ascii="Times New Roman" w:hAnsi="Times New Roman"/>
                <w:b w:val="0"/>
                <w:sz w:val="14"/>
              </w:rPr>
              <w:t>Interactive segmentation</w:t>
            </w:r>
          </w:p>
        </w:tc>
        <w:tc>
          <w:tcPr>
            <w:tcW w:type="dxa" w:w="2045"/>
            <w:vAlign w:val="center"/>
          </w:tcPr>
          <w:p>
            <w:r/>
            <w:r>
              <w:rPr>
                <w:rFonts w:ascii="Times New Roman" w:hAnsi="Times New Roman"/>
                <w:b w:val="0"/>
                <w:sz w:val="14"/>
              </w:rPr>
              <w:t>Geodesic/user cues</w:t>
            </w:r>
          </w:p>
        </w:tc>
        <w:tc>
          <w:tcPr>
            <w:tcW w:type="dxa" w:w="2045"/>
            <w:vAlign w:val="center"/>
          </w:tcPr>
          <w:p>
            <w:r/>
            <w:r>
              <w:rPr>
                <w:rFonts w:ascii="Times New Roman" w:hAnsi="Times New Roman"/>
                <w:b w:val="0"/>
                <w:sz w:val="14"/>
              </w:rPr>
              <w:t>Explicit interaction</w:t>
            </w:r>
          </w:p>
        </w:tc>
        <w:tc>
          <w:tcPr>
            <w:tcW w:type="dxa" w:w="2045"/>
            <w:vAlign w:val="center"/>
          </w:tcPr>
          <w:p>
            <w:r/>
            <w:r>
              <w:rPr>
                <w:rFonts w:ascii="Times New Roman" w:hAnsi="Times New Roman"/>
                <w:b w:val="0"/>
                <w:sz w:val="14"/>
              </w:rPr>
              <w:t>Interaction design is task-dependent</w:t>
            </w:r>
          </w:p>
        </w:tc>
      </w:tr>
      <w:tr>
        <w:tc>
          <w:tcPr>
            <w:tcW w:type="dxa" w:w="2045"/>
            <w:vAlign w:val="center"/>
          </w:tcPr>
          <w:p>
            <w:r/>
            <w:r>
              <w:rPr>
                <w:rFonts w:ascii="Times New Roman" w:hAnsi="Times New Roman"/>
                <w:b w:val="0"/>
                <w:sz w:val="14"/>
              </w:rPr>
              <w:t>ScribblePrompt [11]</w:t>
            </w:r>
          </w:p>
        </w:tc>
        <w:tc>
          <w:tcPr>
            <w:tcW w:type="dxa" w:w="2045"/>
            <w:vAlign w:val="center"/>
          </w:tcPr>
          <w:p>
            <w:r/>
            <w:r>
              <w:rPr>
                <w:rFonts w:ascii="Times New Roman" w:hAnsi="Times New Roman"/>
                <w:b w:val="0"/>
                <w:sz w:val="14"/>
              </w:rPr>
              <w:t>General biomedical interactive segmentation</w:t>
            </w:r>
          </w:p>
        </w:tc>
        <w:tc>
          <w:tcPr>
            <w:tcW w:type="dxa" w:w="2045"/>
            <w:vAlign w:val="center"/>
          </w:tcPr>
          <w:p>
            <w:r/>
            <w:r>
              <w:rPr>
                <w:rFonts w:ascii="Times New Roman" w:hAnsi="Times New Roman"/>
                <w:b w:val="0"/>
                <w:sz w:val="14"/>
              </w:rPr>
              <w:t>Scribbles/clicks/boxes</w:t>
            </w:r>
          </w:p>
        </w:tc>
        <w:tc>
          <w:tcPr>
            <w:tcW w:type="dxa" w:w="2045"/>
            <w:vAlign w:val="center"/>
          </w:tcPr>
          <w:p>
            <w:r/>
            <w:r>
              <w:rPr>
                <w:rFonts w:ascii="Times New Roman" w:hAnsi="Times New Roman"/>
                <w:b w:val="0"/>
                <w:sz w:val="14"/>
              </w:rPr>
              <w:t>Multiple realistic prompt types</w:t>
            </w:r>
          </w:p>
        </w:tc>
        <w:tc>
          <w:tcPr>
            <w:tcW w:type="dxa" w:w="2045"/>
            <w:vAlign w:val="center"/>
          </w:tcPr>
          <w:p>
            <w:r/>
            <w:r>
              <w:rPr>
                <w:rFonts w:ascii="Times New Roman" w:hAnsi="Times New Roman"/>
                <w:b w:val="0"/>
                <w:sz w:val="14"/>
              </w:rPr>
              <w:t>Broader framework than a task-specific bone X-ray model</w:t>
            </w:r>
          </w:p>
        </w:tc>
      </w:tr>
      <w:tr>
        <w:tc>
          <w:tcPr>
            <w:tcW w:type="dxa" w:w="2045"/>
            <w:vAlign w:val="center"/>
          </w:tcPr>
          <w:p>
            <w:r/>
            <w:r>
              <w:rPr>
                <w:rFonts w:ascii="Times New Roman" w:hAnsi="Times New Roman"/>
                <w:b w:val="0"/>
                <w:sz w:val="14"/>
              </w:rPr>
              <w:t>SAM-Med2D / MedSAM [2], [9]</w:t>
            </w:r>
          </w:p>
        </w:tc>
        <w:tc>
          <w:tcPr>
            <w:tcW w:type="dxa" w:w="2045"/>
            <w:vAlign w:val="center"/>
          </w:tcPr>
          <w:p>
            <w:r/>
            <w:r>
              <w:rPr>
                <w:rFonts w:ascii="Times New Roman" w:hAnsi="Times New Roman"/>
                <w:b w:val="0"/>
                <w:sz w:val="14"/>
              </w:rPr>
              <w:t>Medical promptable segmentation</w:t>
            </w:r>
          </w:p>
        </w:tc>
        <w:tc>
          <w:tcPr>
            <w:tcW w:type="dxa" w:w="2045"/>
            <w:vAlign w:val="center"/>
          </w:tcPr>
          <w:p>
            <w:r/>
            <w:r>
              <w:rPr>
                <w:rFonts w:ascii="Times New Roman" w:hAnsi="Times New Roman"/>
                <w:b w:val="0"/>
                <w:sz w:val="14"/>
              </w:rPr>
              <w:t>Boxes/points</w:t>
            </w:r>
          </w:p>
        </w:tc>
        <w:tc>
          <w:tcPr>
            <w:tcW w:type="dxa" w:w="2045"/>
            <w:vAlign w:val="center"/>
          </w:tcPr>
          <w:p>
            <w:r/>
            <w:r>
              <w:rPr>
                <w:rFonts w:ascii="Times New Roman" w:hAnsi="Times New Roman"/>
                <w:b w:val="0"/>
                <w:sz w:val="14"/>
              </w:rPr>
              <w:t>Broad medical applicability</w:t>
            </w:r>
          </w:p>
        </w:tc>
        <w:tc>
          <w:tcPr>
            <w:tcW w:type="dxa" w:w="2045"/>
            <w:vAlign w:val="center"/>
          </w:tcPr>
          <w:p>
            <w:r/>
            <w:r>
              <w:rPr>
                <w:rFonts w:ascii="Times New Roman" w:hAnsi="Times New Roman"/>
                <w:b w:val="0"/>
                <w:sz w:val="14"/>
              </w:rPr>
              <w:t>High computational cost relative to PGA-UNet</w:t>
            </w:r>
          </w:p>
        </w:tc>
      </w:tr>
      <w:tr>
        <w:tc>
          <w:tcPr>
            <w:tcW w:type="dxa" w:w="2045"/>
            <w:vAlign w:val="center"/>
          </w:tcPr>
          <w:p>
            <w:r/>
            <w:r>
              <w:rPr>
                <w:rFonts w:ascii="Times New Roman" w:hAnsi="Times New Roman"/>
                <w:b w:val="0"/>
                <w:sz w:val="14"/>
              </w:rPr>
              <w:t>Med-SA / EMedSAM [12], [13]</w:t>
            </w:r>
          </w:p>
        </w:tc>
        <w:tc>
          <w:tcPr>
            <w:tcW w:type="dxa" w:w="2045"/>
            <w:vAlign w:val="center"/>
          </w:tcPr>
          <w:p>
            <w:r/>
            <w:r>
              <w:rPr>
                <w:rFonts w:ascii="Times New Roman" w:hAnsi="Times New Roman"/>
                <w:b w:val="0"/>
                <w:sz w:val="14"/>
              </w:rPr>
              <w:t>Efficient SAM adaptation</w:t>
            </w:r>
          </w:p>
        </w:tc>
        <w:tc>
          <w:tcPr>
            <w:tcW w:type="dxa" w:w="2045"/>
            <w:vAlign w:val="center"/>
          </w:tcPr>
          <w:p>
            <w:r/>
            <w:r>
              <w:rPr>
                <w:rFonts w:ascii="Times New Roman" w:hAnsi="Times New Roman"/>
                <w:b w:val="0"/>
                <w:sz w:val="14"/>
              </w:rPr>
              <w:t>Prompt-conditioned SAM variants</w:t>
            </w:r>
          </w:p>
        </w:tc>
        <w:tc>
          <w:tcPr>
            <w:tcW w:type="dxa" w:w="2045"/>
            <w:vAlign w:val="center"/>
          </w:tcPr>
          <w:p>
            <w:r/>
            <w:r>
              <w:rPr>
                <w:rFonts w:ascii="Times New Roman" w:hAnsi="Times New Roman"/>
                <w:b w:val="0"/>
                <w:sz w:val="14"/>
              </w:rPr>
              <w:t>Parameter/computation efficiency</w:t>
            </w:r>
          </w:p>
        </w:tc>
        <w:tc>
          <w:tcPr>
            <w:tcW w:type="dxa" w:w="2045"/>
            <w:vAlign w:val="center"/>
          </w:tcPr>
          <w:p>
            <w:r/>
            <w:r>
              <w:rPr>
                <w:rFonts w:ascii="Times New Roman" w:hAnsi="Times New Roman"/>
                <w:b w:val="0"/>
                <w:sz w:val="14"/>
              </w:rPr>
              <w:t>Still foundation-model-derived</w:t>
            </w:r>
          </w:p>
        </w:tc>
      </w:tr>
      <w:tr>
        <w:tc>
          <w:tcPr>
            <w:tcW w:type="dxa" w:w="2045"/>
            <w:vAlign w:val="center"/>
          </w:tcPr>
          <w:p>
            <w:r/>
            <w:r>
              <w:rPr>
                <w:rFonts w:ascii="Times New Roman" w:hAnsi="Times New Roman"/>
                <w:b w:val="0"/>
                <w:sz w:val="14"/>
              </w:rPr>
              <w:t>PGA-UNet</w:t>
            </w:r>
          </w:p>
        </w:tc>
        <w:tc>
          <w:tcPr>
            <w:tcW w:type="dxa" w:w="2045"/>
            <w:vAlign w:val="center"/>
          </w:tcPr>
          <w:p>
            <w:r/>
            <w:r>
              <w:rPr>
                <w:rFonts w:ascii="Times New Roman" w:hAnsi="Times New Roman"/>
                <w:b w:val="0"/>
                <w:sz w:val="14"/>
              </w:rPr>
              <w:t>Task-specific lightweight interactive segmentation</w:t>
            </w:r>
          </w:p>
        </w:tc>
        <w:tc>
          <w:tcPr>
            <w:tcW w:type="dxa" w:w="2045"/>
            <w:vAlign w:val="center"/>
          </w:tcPr>
          <w:p>
            <w:r/>
            <w:r>
              <w:rPr>
                <w:rFonts w:ascii="Times New Roman" w:hAnsi="Times New Roman"/>
                <w:b w:val="0"/>
                <w:sz w:val="14"/>
              </w:rPr>
              <w:t>Gaussian box prior + PSG + CAD</w:t>
            </w:r>
          </w:p>
        </w:tc>
        <w:tc>
          <w:tcPr>
            <w:tcW w:type="dxa" w:w="2045"/>
            <w:vAlign w:val="center"/>
          </w:tcPr>
          <w:p>
            <w:r/>
            <w:r>
              <w:rPr>
                <w:rFonts w:ascii="Times New Roman" w:hAnsi="Times New Roman"/>
                <w:b w:val="0"/>
                <w:sz w:val="14"/>
              </w:rPr>
              <w:t>Sustained prompt conditioning; 2.95M params</w:t>
            </w:r>
          </w:p>
        </w:tc>
        <w:tc>
          <w:tcPr>
            <w:tcW w:type="dxa" w:w="2045"/>
            <w:vAlign w:val="center"/>
          </w:tcPr>
          <w:p>
            <w:r/>
            <w:r>
              <w:rPr>
                <w:rFonts w:ascii="Times New Roman" w:hAnsi="Times New Roman"/>
                <w:b w:val="0"/>
                <w:sz w:val="14"/>
              </w:rPr>
              <w:t>Requires dense masks; current prompts are simulated</w:t>
            </w:r>
          </w:p>
        </w:tc>
      </w:tr>
    </w:tbl>
    <w:p>
      <w:pPr>
        <w:spacing w:after="20"/>
      </w:pPr>
    </w:p>
    <w:p>
      <w:pPr>
        <w:spacing w:before="160" w:after="80"/>
      </w:pPr>
      <w:r>
        <w:rPr>
          <w:rFonts w:ascii="Arial" w:hAnsi="Arial"/>
          <w:b/>
          <w:sz w:val="22"/>
        </w:rPr>
        <w:t>III. METHOD</w:t>
      </w:r>
    </w:p>
    <w:p>
      <w:pPr>
        <w:spacing w:before="160" w:after="80"/>
      </w:pPr>
      <w:r>
        <w:rPr>
          <w:rFonts w:ascii="Arial" w:hAnsi="Arial"/>
          <w:b/>
          <w:sz w:val="20"/>
        </w:rPr>
        <w:t>A. Offline and Online Framework</w:t>
      </w:r>
    </w:p>
    <w:p>
      <w:pPr>
        <w:spacing w:after="80" w:line="240" w:lineRule="auto"/>
        <w:ind w:firstLine="259"/>
        <w:jc w:val="both"/>
      </w:pPr>
      <w:r>
        <w:rPr>
          <w:rFonts w:ascii="Times New Roman" w:hAnsi="Times New Roman"/>
          <w:b w:val="0"/>
          <w:i w:val="0"/>
          <w:sz w:val="20"/>
        </w:rPr>
        <w:t>The proposed system has two stages. In the offline stage, the model is trained on radiographs paired with lesion polygons. Each polygon is converted into a simulated training box and then into a Gaussian-smoothed plateau heatmap; the network learns to map the image-prompt pair to the binary lesion mask. In the online stage, a user supplies a coarse box around a suspected region, the same heatmap construction is applied, and the trained network predicts the lesion mask.</w:t>
      </w:r>
    </w:p>
    <w:p>
      <w:pPr>
        <w:spacing w:after="80" w:line="240" w:lineRule="auto"/>
        <w:ind w:firstLine="259"/>
        <w:jc w:val="both"/>
      </w:pPr>
      <w:r>
        <w:rPr>
          <w:rFonts w:ascii="Times New Roman" w:hAnsi="Times New Roman"/>
          <w:b w:val="0"/>
          <w:i w:val="0"/>
          <w:color w:val="FF0000"/>
          <w:sz w:val="20"/>
        </w:rPr>
        <w:t>The methodological contribution is the way the spatial prior is propagated through the network rather than the offline/online split itself. The present experiments use annotation-derived simulated boxes to provide controlled prompt conditions; they should not be interpreted as a substitute for radiologist-drawn prompts.</w:t>
      </w:r>
    </w:p>
    <w:p>
      <w:pPr>
        <w:spacing w:before="160" w:after="80"/>
      </w:pPr>
      <w:r>
        <w:rPr>
          <w:rFonts w:ascii="Arial" w:hAnsi="Arial"/>
          <w:b/>
          <w:sz w:val="20"/>
        </w:rPr>
        <w:t>B. Problem Setting</w:t>
      </w:r>
    </w:p>
    <w:p>
      <w:pPr>
        <w:spacing w:after="80" w:line="240" w:lineRule="auto"/>
        <w:ind w:firstLine="259"/>
        <w:jc w:val="both"/>
      </w:pPr>
      <w:r>
        <w:rPr>
          <w:rFonts w:ascii="Times New Roman" w:hAnsi="Times New Roman"/>
          <w:b w:val="0"/>
          <w:i w:val="0"/>
          <w:sz w:val="20"/>
        </w:rPr>
        <w:t>Given a grayscale radiograph I and a user-provided bounding box B, the goal is to predict a binary lesion mask. Let H(B) denote the prompt heatmap derived from B. PGA-UNet predicts the final mask by thresholding the output probability map at 0.5.</w:t>
      </w:r>
    </w:p>
    <w:p>
      <w:pPr>
        <w:spacing w:before="160" w:after="80"/>
      </w:pPr>
      <w:r>
        <w:rPr>
          <w:rFonts w:ascii="Arial" w:hAnsi="Arial"/>
          <w:b/>
          <w:sz w:val="20"/>
        </w:rPr>
        <w:t>C. Prompt Representation</w:t>
      </w:r>
    </w:p>
    <w:p>
      <w:pPr>
        <w:spacing w:after="80" w:line="240" w:lineRule="auto"/>
        <w:ind w:firstLine="259"/>
        <w:jc w:val="both"/>
      </w:pPr>
      <w:r>
        <w:rPr>
          <w:rFonts w:ascii="Times New Roman" w:hAnsi="Times New Roman"/>
          <w:b w:val="0"/>
          <w:i w:val="0"/>
          <w:sz w:val="20"/>
        </w:rPr>
        <w:t>The input prompt is not encoded as a hard binary rectangle. The box interior is rasterized into a plateau map at the original image resolution and its boundary is softened using a fixed 31×31 Gaussian kernel before the image and prompt are resized and padded to the target square resolution. During training, a covering box expands each side of the tight lesion box by a random fraction in [0.15, 0.45]. An off-center box applies the same expansion and then adds a translation of up to 30% of the lesion width and height while preserving lesion coverage. Evaluation uses a fixed 30% expansion for the covering condition and the same bounded shift for the off-center condition.</w:t>
      </w:r>
    </w:p>
    <w:p>
      <w:pPr>
        <w:spacing w:after="80" w:line="240" w:lineRule="auto"/>
        <w:ind w:firstLine="259"/>
        <w:jc w:val="both"/>
      </w:pPr>
      <w:r>
        <w:rPr>
          <w:rFonts w:ascii="Times New Roman" w:hAnsi="Times New Roman"/>
          <w:b w:val="0"/>
          <w:i w:val="0"/>
          <w:color w:val="FF0000"/>
          <w:sz w:val="20"/>
        </w:rPr>
        <w:t>Because both test prompt conditions are generated from the ground-truth lesion extent and are constrained to cover the lesion, they constitute controlled oracle-derived localization cues. Consequently, performance under these prompts measures segmentation after approximate localization has been supplied; it does not measure whether a clinician can identify the correct region or how the model behaves when a prompt partially misses the lesion.</w:t>
      </w:r>
    </w:p>
    <w:p>
      <w:pPr>
        <w:spacing w:before="160" w:after="80"/>
      </w:pPr>
      <w:r>
        <w:rPr>
          <w:rFonts w:ascii="Arial" w:hAnsi="Arial"/>
          <w:b/>
          <w:sz w:val="20"/>
        </w:rPr>
        <w:t>D. Prompt Spatial Gate</w:t>
      </w:r>
    </w:p>
    <w:p>
      <w:pPr>
        <w:spacing w:after="80" w:line="240" w:lineRule="auto"/>
        <w:ind w:firstLine="259"/>
        <w:jc w:val="both"/>
      </w:pPr>
      <w:r>
        <w:rPr>
          <w:rFonts w:ascii="Times New Roman" w:hAnsi="Times New Roman"/>
          <w:b w:val="0"/>
          <w:i w:val="0"/>
          <w:sz w:val="20"/>
        </w:rPr>
        <w:t>At encoder level l, PSG modulates the feature map x_l using a prompt-derived attention map in residual form. The learnable PSG mixing coefficient is initialized to 0.1 and constrained to [0,1], preserving the original feature stream while allowing prompt-relevant spatial responses to be amplified.</w:t>
      </w:r>
    </w:p>
    <w:p>
      <w:pPr>
        <w:spacing w:before="160" w:after="80"/>
      </w:pPr>
      <w:r>
        <w:rPr>
          <w:rFonts w:ascii="Arial" w:hAnsi="Arial"/>
          <w:b/>
          <w:sz w:val="20"/>
        </w:rPr>
        <w:t>E. Conditional Attention Decoder</w:t>
      </w:r>
    </w:p>
    <w:p>
      <w:pPr>
        <w:spacing w:after="80" w:line="240" w:lineRule="auto"/>
        <w:ind w:firstLine="259"/>
        <w:jc w:val="both"/>
      </w:pPr>
      <w:r>
        <w:rPr>
          <w:rFonts w:ascii="Times New Roman" w:hAnsi="Times New Roman"/>
          <w:b w:val="0"/>
          <w:i w:val="0"/>
          <w:sz w:val="20"/>
        </w:rPr>
        <w:t>CAD conditions decoder skip attention on prompt-encoded features at the corresponding scale. The prompt encoder uses two 3×3 convolutions with instance normalization and ReLU; a prompt-confidence scalar is generated by global average pooling, a 1×1 convolution, and a sigmoid. Decoder depth coefficients are fixed to {1.0, 0.7, 0.4, 0.2} from deep to shallow layers.</w:t>
      </w:r>
    </w:p>
    <w:p>
      <w:pPr>
        <w:spacing w:after="80" w:line="240" w:lineRule="auto"/>
        <w:ind w:firstLine="259"/>
        <w:jc w:val="both"/>
      </w:pPr>
      <w:r>
        <w:rPr>
          <w:rFonts w:ascii="Times New Roman" w:hAnsi="Times New Roman"/>
          <w:b/>
          <w:i w:val="0"/>
          <w:color w:val="FF0000"/>
          <w:sz w:val="20"/>
        </w:rPr>
        <w:t>[AUTHOR ACTION: add a short sensitivity analysis for Gaussian kernel size, box expansion/shift magnitude, and the fixed CAD depth coefficients. At minimum, justify the selected values on the validation set and state that the test set was not used for tuning.]</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p4_img2.png"/>
                    <pic:cNvPicPr/>
                  </pic:nvPicPr>
                  <pic:blipFill>
                    <a:blip r:embed="rId11"/>
                    <a:stretch>
                      <a:fillRect/>
                    </a:stretch>
                  </pic:blipFill>
                  <pic:spPr>
                    <a:xfrm>
                      <a:off x="0" y="0"/>
                      <a:ext cx="5852160" cy="3291840"/>
                    </a:xfrm>
                    <a:prstGeom prst="rect"/>
                  </pic:spPr>
                </pic:pic>
              </a:graphicData>
            </a:graphic>
          </wp:inline>
        </w:drawing>
      </w:r>
    </w:p>
    <w:p>
      <w:pPr>
        <w:spacing w:after="120"/>
        <w:jc w:val="center"/>
      </w:pPr>
      <w:r>
        <w:rPr>
          <w:rFonts w:ascii="Times New Roman" w:hAnsi="Times New Roman"/>
          <w:b/>
          <w:sz w:val="16"/>
        </w:rPr>
        <w:t>FIGURE 1. Overview of PGA-UNet. Prompt information derived from the bounding box is injected into encoder features through PSG and reused in decoder skip attention through CAD.</w:t>
      </w:r>
    </w:p>
    <w:p>
      <w:pPr>
        <w:spacing w:before="160" w:after="80"/>
      </w:pPr>
      <w:r>
        <w:rPr>
          <w:rFonts w:ascii="Arial" w:hAnsi="Arial"/>
          <w:b/>
          <w:sz w:val="22"/>
        </w:rPr>
        <w:t>IV. EXPERIMENTAL SETUP</w:t>
      </w:r>
    </w:p>
    <w:p>
      <w:pPr>
        <w:spacing w:before="160" w:after="80"/>
      </w:pPr>
      <w:r>
        <w:rPr>
          <w:rFonts w:ascii="Arial" w:hAnsi="Arial"/>
          <w:b/>
          <w:sz w:val="20"/>
        </w:rPr>
        <w:t>A. Datasets</w:t>
      </w:r>
    </w:p>
    <w:p>
      <w:pPr>
        <w:spacing w:after="80" w:line="240" w:lineRule="auto"/>
        <w:ind w:firstLine="259"/>
        <w:jc w:val="both"/>
      </w:pPr>
      <w:r>
        <w:rPr>
          <w:rFonts w:ascii="Times New Roman" w:hAnsi="Times New Roman"/>
          <w:b w:val="0"/>
          <w:i w:val="0"/>
          <w:sz w:val="20"/>
        </w:rPr>
        <w:t>We evaluate on two public bone radiograph datasets. BTXRD is a primary bone tumor X-ray dataset with polygon annotations for classification, localization, and segmentation [7]. The split contains 1,493/187/187 images with 1,848/238/232 lesion polygons for training, validation, and testing. FracAtlas is a fracture radiograph dataset with classification, localization, and segmentation labels [8]. After data cleaning and polygon normalization, the split contains 573/72/72 images with 730/95/92 lesion polygons for training, validation, and testing.</w:t>
      </w:r>
    </w:p>
    <w:p>
      <w:pPr>
        <w:spacing w:after="80" w:line="240" w:lineRule="auto"/>
        <w:ind w:firstLine="259"/>
        <w:jc w:val="both"/>
      </w:pPr>
      <w:r>
        <w:rPr>
          <w:rFonts w:ascii="Times New Roman" w:hAnsi="Times New Roman"/>
          <w:b w:val="0"/>
          <w:i w:val="0"/>
          <w:color w:val="FF0000"/>
          <w:sz w:val="20"/>
        </w:rPr>
        <w:t>Splits are performed at the image level and all polygons from the same image remain in the same split. Public metadata were insufficient to verify strict patient-level separation; therefore, patient-level leakage cannot be ruled out and is treated as a limitation. Each polygon is one promptable lesion sample during training. For image-level evaluation with multiple lesions, the model is run once per lesion box and probability maps are merged by pixelwise maximum before thresholding; ground-truth masks are merged by union.</w:t>
      </w:r>
    </w:p>
    <w:p>
      <w:pPr>
        <w:spacing w:after="80" w:line="240" w:lineRule="auto"/>
        <w:ind w:firstLine="259"/>
        <w:jc w:val="both"/>
      </w:pPr>
      <w:r>
        <w:rPr>
          <w:rFonts w:ascii="Times New Roman" w:hAnsi="Times New Roman"/>
          <w:b w:val="0"/>
          <w:i w:val="0"/>
          <w:sz w:val="20"/>
        </w:rPr>
        <w:t>Inputs are resized isotropically and padded to 256×256 or 512×512 while preserving aspect ratio; the image, mask, and prompt map undergo identical geometric preprocessing.</w:t>
      </w:r>
    </w:p>
    <w:p>
      <w:pPr>
        <w:spacing w:before="160" w:after="80"/>
      </w:pPr>
      <w:r>
        <w:rPr>
          <w:rFonts w:ascii="Arial" w:hAnsi="Arial"/>
          <w:b/>
          <w:sz w:val="20"/>
        </w:rPr>
        <w:t>B. Training Details</w:t>
      </w:r>
    </w:p>
    <w:p>
      <w:pPr>
        <w:spacing w:after="80" w:line="240" w:lineRule="auto"/>
        <w:ind w:firstLine="259"/>
        <w:jc w:val="both"/>
      </w:pPr>
      <w:r>
        <w:rPr>
          <w:rFonts w:ascii="Times New Roman" w:hAnsi="Times New Roman"/>
          <w:b w:val="0"/>
          <w:i w:val="0"/>
          <w:sz w:val="20"/>
        </w:rPr>
        <w:t>All CNN models were implemented in PyTorch and trained on an NVIDIA Tesla T4 GPU with 16 GB memory. PGA-UNet and Attention U-Net were trained separately for each dataset and resolution. AdamW was used with learning rate 10^-4 and weight decay 10^-4. The loss is binary cross-entropy plus Dice loss, batch size is 4, the maximum training budget is 100 epochs, and early stopping with patience 15 is used. Training augmentation includes horizontal flipping and random rotation within ±15°. PGA-UNet is trained on a 50/50 mixture of covering and off-center prompts.</w:t>
      </w:r>
    </w:p>
    <w:p>
      <w:pPr>
        <w:spacing w:after="80" w:line="240" w:lineRule="auto"/>
        <w:ind w:firstLine="259"/>
        <w:jc w:val="both"/>
      </w:pPr>
      <w:r>
        <w:rPr>
          <w:rFonts w:ascii="Times New Roman" w:hAnsi="Times New Roman"/>
          <w:b w:val="0"/>
          <w:i w:val="0"/>
          <w:color w:val="FF0000"/>
          <w:sz w:val="20"/>
        </w:rPr>
        <w:t>Fine-tuned SAM-Med2D uses the same dataset splits and the same 50/50 box-prompt mixture. The pretrained image encoder is frozen except for Adapter layers, whereas the prompt encoder and mask decoder are updated. This matched prompt distribution reduces a major source of comparison bias, although optimizer settings and early-stopping patience differ because the models are fine-tuned under different optimization regimes.</w:t>
      </w:r>
    </w:p>
    <w:p>
      <w:pPr>
        <w:spacing w:before="160" w:after="80"/>
      </w:pPr>
      <w:r>
        <w:rPr>
          <w:rFonts w:ascii="Arial" w:hAnsi="Arial"/>
          <w:b/>
          <w:sz w:val="20"/>
        </w:rPr>
        <w:t>C. Baselines and Metrics</w:t>
      </w:r>
    </w:p>
    <w:p>
      <w:pPr>
        <w:spacing w:after="80" w:line="240" w:lineRule="auto"/>
        <w:ind w:firstLine="259"/>
        <w:jc w:val="both"/>
      </w:pPr>
      <w:r>
        <w:rPr>
          <w:rFonts w:ascii="Times New Roman" w:hAnsi="Times New Roman"/>
          <w:b w:val="0"/>
          <w:i w:val="0"/>
          <w:color w:val="FF0000"/>
          <w:sz w:val="20"/>
        </w:rPr>
        <w:t>Attention U-Net is retained as a prompt-free automatic reference that illustrates the difficulty of full-image localization. It is not used as evidence that the PGA-UNet architecture is superior under equal information. Fine-tuned SAM-Med2D is the current prompt-matched baseline because it receives the same box type and is evaluated at the same 256×256 resolution. Primary metrics reported in the main manuscript are Dice, center-based localization (CBL), and HD95; this wording is aligned with the metrics actually shown in the main result tables.</w:t>
      </w:r>
    </w:p>
    <w:p>
      <w:pPr>
        <w:spacing w:after="80" w:line="240" w:lineRule="auto"/>
        <w:ind w:firstLine="259"/>
        <w:jc w:val="both"/>
      </w:pPr>
      <w:r>
        <w:rPr>
          <w:rFonts w:ascii="Times New Roman" w:hAnsi="Times New Roman"/>
          <w:b/>
          <w:i w:val="0"/>
          <w:color w:val="FF0000"/>
          <w:sz w:val="20"/>
        </w:rPr>
        <w:t>[AUTHOR ACTION — HIGH PRIORITY: before IEEE Access submission, add at least two fair conventional prompt baselines: (i) U-Net/Attention U-Net with the same box heatmap concatenated as an input channel, and (ii) crop-then-segment U-Net/Attention U-Net using the same bounding box. These baselines are needed to separate the benefit of “having a box” from the benefit of PSG+CAD.]</w:t>
      </w:r>
    </w:p>
    <w:p>
      <w:pPr>
        <w:spacing w:after="80" w:line="240" w:lineRule="auto"/>
        <w:ind w:firstLine="259"/>
        <w:jc w:val="both"/>
      </w:pPr>
      <w:r>
        <w:rPr>
          <w:rFonts w:ascii="Times New Roman" w:hAnsi="Times New Roman"/>
          <w:b/>
          <w:i w:val="0"/>
          <w:color w:val="FF0000"/>
          <w:sz w:val="20"/>
        </w:rPr>
        <w:t>[AUTHOR ACTION — HIGH PRIORITY: add at least one additional modern prompt-based baseline if computationally feasible (e.g., MedSAM, ScribblePrompt-UNet/SAM, Med-SA, or an efficient SAM variant) under the same box protocol. Do not add a method unless the implementation and prompt protocol are matched and documented.]</w:t>
      </w:r>
    </w:p>
    <w:p>
      <w:pPr>
        <w:spacing w:before="160" w:after="80"/>
      </w:pPr>
      <w:r>
        <w:rPr>
          <w:rFonts w:ascii="Arial" w:hAnsi="Arial"/>
          <w:b/>
          <w:color w:val="FF0000"/>
          <w:sz w:val="20"/>
        </w:rPr>
        <w:t>D. Statistical and Robustness Analysis</w:t>
      </w:r>
    </w:p>
    <w:p>
      <w:pPr>
        <w:spacing w:after="80" w:line="240" w:lineRule="auto"/>
        <w:ind w:firstLine="259"/>
        <w:jc w:val="both"/>
      </w:pPr>
      <w:r>
        <w:rPr>
          <w:rFonts w:ascii="Times New Roman" w:hAnsi="Times New Roman"/>
          <w:b/>
          <w:i w:val="0"/>
          <w:color w:val="FF0000"/>
          <w:sz w:val="20"/>
        </w:rPr>
        <w:t>[AUTHOR ACTION: run the main prompt-matched models on the same repeated splits or seeds and report paired differences with 95% confidence intervals (e.g., paired bootstrap over test images). Repeat the key full-vs-ablation comparison across multiple seeds. The current four-split Monte Carlo analysis demonstrates stability of PGA-UNet itself but does not establish statistical superiority over SAM-Med2D.]</w:t>
      </w:r>
    </w:p>
    <w:p>
      <w:pPr>
        <w:spacing w:after="80" w:line="240" w:lineRule="auto"/>
        <w:ind w:firstLine="259"/>
        <w:jc w:val="both"/>
      </w:pPr>
      <w:r>
        <w:rPr>
          <w:rFonts w:ascii="Times New Roman" w:hAnsi="Times New Roman"/>
          <w:b/>
          <w:i w:val="0"/>
          <w:color w:val="FF0000"/>
          <w:sz w:val="20"/>
        </w:rPr>
        <w:t>[AUTHOR ACTION: extend prompt perturbation beyond boxes that always cover the lesion. Recommended test strata are: (1) box expansion 0–100%; (2) center shifts up to 50% of lesion width/height; (3) partial-coverage boxes at approximately 50%, 75%, and 90% lesion coverage; and (4) negative/background boxes with no lesion overlap. Report Dice versus prompt quality and the rate/area of false-positive masks for negative boxes.]</w:t>
      </w:r>
    </w:p>
    <w:p>
      <w:pPr>
        <w:spacing w:before="160" w:after="80"/>
      </w:pPr>
      <w:r>
        <w:rPr>
          <w:rFonts w:ascii="Arial" w:hAnsi="Arial"/>
          <w:b/>
          <w:sz w:val="22"/>
        </w:rPr>
        <w:t>V. RESULTS</w:t>
      </w:r>
    </w:p>
    <w:p>
      <w:pPr>
        <w:spacing w:before="160" w:after="80"/>
      </w:pPr>
      <w:r>
        <w:rPr>
          <w:rFonts w:ascii="Arial" w:hAnsi="Arial"/>
          <w:b/>
          <w:sz w:val="20"/>
        </w:rPr>
        <w:t>A. Main Performance Across Datasets and Resolutions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Times New Roman" w:hAnsi="Times New Roman"/>
                <w:b/>
                <w:sz w:val="16"/>
              </w:rPr>
              <w:t>Dataset</w:t>
            </w:r>
          </w:p>
        </w:tc>
        <w:tc>
          <w:tcPr>
            <w:tcW w:type="dxa" w:w="2556"/>
            <w:vAlign w:val="center"/>
            <w:shd w:fill="D9EAF7"/>
          </w:tcPr>
          <w:p>
            <w:r/>
            <w:r>
              <w:rPr>
                <w:rFonts w:ascii="Times New Roman" w:hAnsi="Times New Roman"/>
                <w:b/>
                <w:sz w:val="16"/>
              </w:rPr>
              <w:t>Resolution</w:t>
            </w:r>
          </w:p>
        </w:tc>
        <w:tc>
          <w:tcPr>
            <w:tcW w:type="dxa" w:w="2556"/>
            <w:vAlign w:val="center"/>
            <w:shd w:fill="D9EAF7"/>
          </w:tcPr>
          <w:p>
            <w:r/>
            <w:r>
              <w:rPr>
                <w:rFonts w:ascii="Times New Roman" w:hAnsi="Times New Roman"/>
                <w:b/>
                <w:sz w:val="16"/>
              </w:rPr>
              <w:t>Covering Dice</w:t>
            </w:r>
          </w:p>
        </w:tc>
        <w:tc>
          <w:tcPr>
            <w:tcW w:type="dxa" w:w="2556"/>
            <w:vAlign w:val="center"/>
            <w:shd w:fill="D9EAF7"/>
          </w:tcPr>
          <w:p>
            <w:r/>
            <w:r>
              <w:rPr>
                <w:rFonts w:ascii="Times New Roman" w:hAnsi="Times New Roman"/>
                <w:b/>
                <w:sz w:val="16"/>
              </w:rPr>
              <w:t>Off-center Dice</w:t>
            </w:r>
          </w:p>
        </w:tc>
      </w:tr>
      <w:tr>
        <w:tc>
          <w:tcPr>
            <w:tcW w:type="dxa" w:w="2556"/>
            <w:vAlign w:val="center"/>
          </w:tcPr>
          <w:p>
            <w:r/>
            <w:r>
              <w:rPr>
                <w:rFonts w:ascii="Times New Roman" w:hAnsi="Times New Roman"/>
                <w:b w:val="0"/>
                <w:sz w:val="16"/>
              </w:rPr>
              <w:t>BTXRD</w:t>
            </w:r>
          </w:p>
        </w:tc>
        <w:tc>
          <w:tcPr>
            <w:tcW w:type="dxa" w:w="2556"/>
            <w:vAlign w:val="center"/>
          </w:tcPr>
          <w:p>
            <w:r/>
            <w:r>
              <w:rPr>
                <w:rFonts w:ascii="Times New Roman" w:hAnsi="Times New Roman"/>
                <w:b w:val="0"/>
                <w:sz w:val="16"/>
              </w:rPr>
              <w:t>256×256</w:t>
            </w:r>
          </w:p>
        </w:tc>
        <w:tc>
          <w:tcPr>
            <w:tcW w:type="dxa" w:w="2556"/>
            <w:vAlign w:val="center"/>
          </w:tcPr>
          <w:p>
            <w:r/>
            <w:r>
              <w:rPr>
                <w:rFonts w:ascii="Times New Roman" w:hAnsi="Times New Roman"/>
                <w:b w:val="0"/>
                <w:sz w:val="16"/>
              </w:rPr>
              <w:t>0.8449</w:t>
            </w:r>
          </w:p>
        </w:tc>
        <w:tc>
          <w:tcPr>
            <w:tcW w:type="dxa" w:w="2556"/>
            <w:vAlign w:val="center"/>
          </w:tcPr>
          <w:p>
            <w:r/>
            <w:r>
              <w:rPr>
                <w:rFonts w:ascii="Times New Roman" w:hAnsi="Times New Roman"/>
                <w:b w:val="0"/>
                <w:sz w:val="16"/>
              </w:rPr>
              <w:t>0.8111</w:t>
            </w:r>
          </w:p>
        </w:tc>
      </w:tr>
      <w:tr>
        <w:tc>
          <w:tcPr>
            <w:tcW w:type="dxa" w:w="2556"/>
            <w:vAlign w:val="center"/>
          </w:tcPr>
          <w:p>
            <w:r/>
            <w:r>
              <w:rPr>
                <w:rFonts w:ascii="Times New Roman" w:hAnsi="Times New Roman"/>
                <w:b w:val="0"/>
                <w:sz w:val="16"/>
              </w:rPr>
              <w:t>BTXRD</w:t>
            </w:r>
          </w:p>
        </w:tc>
        <w:tc>
          <w:tcPr>
            <w:tcW w:type="dxa" w:w="2556"/>
            <w:vAlign w:val="center"/>
          </w:tcPr>
          <w:p>
            <w:r/>
            <w:r>
              <w:rPr>
                <w:rFonts w:ascii="Times New Roman" w:hAnsi="Times New Roman"/>
                <w:b w:val="0"/>
                <w:sz w:val="16"/>
              </w:rPr>
              <w:t>512×512</w:t>
            </w:r>
          </w:p>
        </w:tc>
        <w:tc>
          <w:tcPr>
            <w:tcW w:type="dxa" w:w="2556"/>
            <w:vAlign w:val="center"/>
          </w:tcPr>
          <w:p>
            <w:r/>
            <w:r>
              <w:rPr>
                <w:rFonts w:ascii="Times New Roman" w:hAnsi="Times New Roman"/>
                <w:b w:val="0"/>
                <w:sz w:val="16"/>
              </w:rPr>
              <w:t>0.8788</w:t>
            </w:r>
          </w:p>
        </w:tc>
        <w:tc>
          <w:tcPr>
            <w:tcW w:type="dxa" w:w="2556"/>
            <w:vAlign w:val="center"/>
          </w:tcPr>
          <w:p>
            <w:r/>
            <w:r>
              <w:rPr>
                <w:rFonts w:ascii="Times New Roman" w:hAnsi="Times New Roman"/>
                <w:b w:val="0"/>
                <w:sz w:val="16"/>
              </w:rPr>
              <w:t>0.8496</w:t>
            </w:r>
          </w:p>
        </w:tc>
      </w:tr>
      <w:tr>
        <w:tc>
          <w:tcPr>
            <w:tcW w:type="dxa" w:w="2556"/>
            <w:vAlign w:val="center"/>
          </w:tcPr>
          <w:p>
            <w:r/>
            <w:r>
              <w:rPr>
                <w:rFonts w:ascii="Times New Roman" w:hAnsi="Times New Roman"/>
                <w:b w:val="0"/>
                <w:sz w:val="16"/>
              </w:rPr>
              <w:t>FracAtlas</w:t>
            </w:r>
          </w:p>
        </w:tc>
        <w:tc>
          <w:tcPr>
            <w:tcW w:type="dxa" w:w="2556"/>
            <w:vAlign w:val="center"/>
          </w:tcPr>
          <w:p>
            <w:r/>
            <w:r>
              <w:rPr>
                <w:rFonts w:ascii="Times New Roman" w:hAnsi="Times New Roman"/>
                <w:b w:val="0"/>
                <w:sz w:val="16"/>
              </w:rPr>
              <w:t>256×256</w:t>
            </w:r>
          </w:p>
        </w:tc>
        <w:tc>
          <w:tcPr>
            <w:tcW w:type="dxa" w:w="2556"/>
            <w:vAlign w:val="center"/>
          </w:tcPr>
          <w:p>
            <w:r/>
            <w:r>
              <w:rPr>
                <w:rFonts w:ascii="Times New Roman" w:hAnsi="Times New Roman"/>
                <w:b w:val="0"/>
                <w:sz w:val="16"/>
              </w:rPr>
              <w:t>0.7974</w:t>
            </w:r>
          </w:p>
        </w:tc>
        <w:tc>
          <w:tcPr>
            <w:tcW w:type="dxa" w:w="2556"/>
            <w:vAlign w:val="center"/>
          </w:tcPr>
          <w:p>
            <w:r/>
            <w:r>
              <w:rPr>
                <w:rFonts w:ascii="Times New Roman" w:hAnsi="Times New Roman"/>
                <w:b w:val="0"/>
                <w:sz w:val="16"/>
              </w:rPr>
              <w:t>0.7619</w:t>
            </w:r>
          </w:p>
        </w:tc>
      </w:tr>
      <w:tr>
        <w:tc>
          <w:tcPr>
            <w:tcW w:type="dxa" w:w="2556"/>
            <w:vAlign w:val="center"/>
          </w:tcPr>
          <w:p>
            <w:r/>
            <w:r>
              <w:rPr>
                <w:rFonts w:ascii="Times New Roman" w:hAnsi="Times New Roman"/>
                <w:b w:val="0"/>
                <w:sz w:val="16"/>
              </w:rPr>
              <w:t>FracAtlas</w:t>
            </w:r>
          </w:p>
        </w:tc>
        <w:tc>
          <w:tcPr>
            <w:tcW w:type="dxa" w:w="2556"/>
            <w:vAlign w:val="center"/>
          </w:tcPr>
          <w:p>
            <w:r/>
            <w:r>
              <w:rPr>
                <w:rFonts w:ascii="Times New Roman" w:hAnsi="Times New Roman"/>
                <w:b w:val="0"/>
                <w:sz w:val="16"/>
              </w:rPr>
              <w:t>512×512</w:t>
            </w:r>
          </w:p>
        </w:tc>
        <w:tc>
          <w:tcPr>
            <w:tcW w:type="dxa" w:w="2556"/>
            <w:vAlign w:val="center"/>
          </w:tcPr>
          <w:p>
            <w:r/>
            <w:r>
              <w:rPr>
                <w:rFonts w:ascii="Times New Roman" w:hAnsi="Times New Roman"/>
                <w:b w:val="0"/>
                <w:sz w:val="16"/>
              </w:rPr>
              <w:t>0.8286</w:t>
            </w:r>
          </w:p>
        </w:tc>
        <w:tc>
          <w:tcPr>
            <w:tcW w:type="dxa" w:w="2556"/>
            <w:vAlign w:val="center"/>
          </w:tcPr>
          <w:p>
            <w:r/>
            <w:r>
              <w:rPr>
                <w:rFonts w:ascii="Times New Roman" w:hAnsi="Times New Roman"/>
                <w:b w:val="0"/>
                <w:sz w:val="16"/>
              </w:rPr>
              <w:t>0.7925</w:t>
            </w:r>
          </w:p>
        </w:tc>
      </w:tr>
    </w:tbl>
    <w:p>
      <w:pPr>
        <w:spacing w:after="20"/>
      </w:pPr>
    </w:p>
    <w:p>
      <w:pPr>
        <w:spacing w:after="80" w:line="240" w:lineRule="auto"/>
        <w:ind w:firstLine="259"/>
        <w:jc w:val="both"/>
      </w:pPr>
      <w:r>
        <w:rPr>
          <w:rFonts w:ascii="Times New Roman" w:hAnsi="Times New Roman"/>
          <w:b w:val="0"/>
          <w:i w:val="0"/>
          <w:color w:val="FF0000"/>
          <w:sz w:val="20"/>
        </w:rPr>
        <w:t>PGA-UNet achieves consistently high Dice on both datasets and both resolutions under the two controlled prompt conditions. Increasing the input resolution improves Dice in every setting. Because the Gaussian prompt is constructed at the original resolution using a fixed 31×31 kernel before resizing, the 256-vs-512 comparison reflects both image-detail preservation and a different effective prompt blur after downsampling; it should therefore not be interpreted as a pure resolution ablation.</w:t>
      </w:r>
    </w:p>
    <w:p>
      <w:pPr>
        <w:spacing w:before="160" w:after="80"/>
      </w:pPr>
      <w:r>
        <w:rPr>
          <w:rFonts w:ascii="Arial" w:hAnsi="Arial"/>
          <w:b/>
          <w:sz w:val="20"/>
        </w:rPr>
        <w:t>B. Monte Carlo Cross-Validation</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rFonts w:ascii="Times New Roman" w:hAnsi="Times New Roman"/>
                <w:b/>
                <w:sz w:val="16"/>
              </w:rPr>
              <w:t>Dataset</w:t>
            </w:r>
          </w:p>
        </w:tc>
        <w:tc>
          <w:tcPr>
            <w:tcW w:type="dxa" w:w="2045"/>
            <w:vAlign w:val="center"/>
            <w:shd w:fill="D9EAF7"/>
          </w:tcPr>
          <w:p>
            <w:r/>
            <w:r>
              <w:rPr>
                <w:rFonts w:ascii="Times New Roman" w:hAnsi="Times New Roman"/>
                <w:b/>
                <w:sz w:val="16"/>
              </w:rPr>
              <w:t>Prompt</w:t>
            </w:r>
          </w:p>
        </w:tc>
        <w:tc>
          <w:tcPr>
            <w:tcW w:type="dxa" w:w="2045"/>
            <w:vAlign w:val="center"/>
            <w:shd w:fill="D9EAF7"/>
          </w:tcPr>
          <w:p>
            <w:r/>
            <w:r>
              <w:rPr>
                <w:rFonts w:ascii="Times New Roman" w:hAnsi="Times New Roman"/>
                <w:b/>
                <w:sz w:val="16"/>
              </w:rPr>
              <w:t>Dice (mean±SD)</w:t>
            </w:r>
          </w:p>
        </w:tc>
        <w:tc>
          <w:tcPr>
            <w:tcW w:type="dxa" w:w="2045"/>
            <w:vAlign w:val="center"/>
            <w:shd w:fill="D9EAF7"/>
          </w:tcPr>
          <w:p>
            <w:r/>
            <w:r>
              <w:rPr>
                <w:rFonts w:ascii="Times New Roman" w:hAnsi="Times New Roman"/>
                <w:b/>
                <w:sz w:val="16"/>
              </w:rPr>
              <w:t>CBL (mean±SD)</w:t>
            </w:r>
          </w:p>
        </w:tc>
        <w:tc>
          <w:tcPr>
            <w:tcW w:type="dxa" w:w="2045"/>
            <w:vAlign w:val="center"/>
            <w:shd w:fill="D9EAF7"/>
          </w:tcPr>
          <w:p>
            <w:r/>
            <w:r>
              <w:rPr>
                <w:rFonts w:ascii="Times New Roman" w:hAnsi="Times New Roman"/>
                <w:b/>
                <w:sz w:val="16"/>
              </w:rPr>
              <w:t>HD95 (mean±SD)</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Covering</w:t>
            </w:r>
          </w:p>
        </w:tc>
        <w:tc>
          <w:tcPr>
            <w:tcW w:type="dxa" w:w="2045"/>
            <w:vAlign w:val="center"/>
          </w:tcPr>
          <w:p>
            <w:r/>
            <w:r>
              <w:rPr>
                <w:rFonts w:ascii="Times New Roman" w:hAnsi="Times New Roman"/>
                <w:b w:val="0"/>
                <w:sz w:val="16"/>
              </w:rPr>
              <w:t>0.8715 ± 0.0083</w:t>
            </w:r>
          </w:p>
        </w:tc>
        <w:tc>
          <w:tcPr>
            <w:tcW w:type="dxa" w:w="2045"/>
            <w:vAlign w:val="center"/>
          </w:tcPr>
          <w:p>
            <w:r/>
            <w:r>
              <w:rPr>
                <w:rFonts w:ascii="Times New Roman" w:hAnsi="Times New Roman"/>
                <w:b w:val="0"/>
                <w:sz w:val="16"/>
              </w:rPr>
              <w:t>0.9600 ± 0.0028</w:t>
            </w:r>
          </w:p>
        </w:tc>
        <w:tc>
          <w:tcPr>
            <w:tcW w:type="dxa" w:w="2045"/>
            <w:vAlign w:val="center"/>
          </w:tcPr>
          <w:p>
            <w:r/>
            <w:r>
              <w:rPr>
                <w:rFonts w:ascii="Times New Roman" w:hAnsi="Times New Roman"/>
                <w:b w:val="0"/>
                <w:sz w:val="16"/>
              </w:rPr>
              <w:t>8.09 ± 0.67</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Off-center</w:t>
            </w:r>
          </w:p>
        </w:tc>
        <w:tc>
          <w:tcPr>
            <w:tcW w:type="dxa" w:w="2045"/>
            <w:vAlign w:val="center"/>
          </w:tcPr>
          <w:p>
            <w:r/>
            <w:r>
              <w:rPr>
                <w:rFonts w:ascii="Times New Roman" w:hAnsi="Times New Roman"/>
                <w:b w:val="0"/>
                <w:sz w:val="16"/>
              </w:rPr>
              <w:t>0.8357 ± 0.0120</w:t>
            </w:r>
          </w:p>
        </w:tc>
        <w:tc>
          <w:tcPr>
            <w:tcW w:type="dxa" w:w="2045"/>
            <w:vAlign w:val="center"/>
          </w:tcPr>
          <w:p>
            <w:r/>
            <w:r>
              <w:rPr>
                <w:rFonts w:ascii="Times New Roman" w:hAnsi="Times New Roman"/>
                <w:b w:val="0"/>
                <w:sz w:val="16"/>
              </w:rPr>
              <w:t>0.9390 ± 0.0062</w:t>
            </w:r>
          </w:p>
        </w:tc>
        <w:tc>
          <w:tcPr>
            <w:tcW w:type="dxa" w:w="2045"/>
            <w:vAlign w:val="center"/>
          </w:tcPr>
          <w:p>
            <w:r/>
            <w:r>
              <w:rPr>
                <w:rFonts w:ascii="Times New Roman" w:hAnsi="Times New Roman"/>
                <w:b w:val="0"/>
                <w:sz w:val="16"/>
              </w:rPr>
              <w:t>10.45 ± 0.65</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Covering</w:t>
            </w:r>
          </w:p>
        </w:tc>
        <w:tc>
          <w:tcPr>
            <w:tcW w:type="dxa" w:w="2045"/>
            <w:vAlign w:val="center"/>
          </w:tcPr>
          <w:p>
            <w:r/>
            <w:r>
              <w:rPr>
                <w:rFonts w:ascii="Times New Roman" w:hAnsi="Times New Roman"/>
                <w:b w:val="0"/>
                <w:sz w:val="16"/>
              </w:rPr>
              <w:t>0.8281 ± 0.0052</w:t>
            </w:r>
          </w:p>
        </w:tc>
        <w:tc>
          <w:tcPr>
            <w:tcW w:type="dxa" w:w="2045"/>
            <w:vAlign w:val="center"/>
          </w:tcPr>
          <w:p>
            <w:r/>
            <w:r>
              <w:rPr>
                <w:rFonts w:ascii="Times New Roman" w:hAnsi="Times New Roman"/>
                <w:b w:val="0"/>
                <w:sz w:val="16"/>
              </w:rPr>
              <w:t>0.9597 ± 0.0039</w:t>
            </w:r>
          </w:p>
        </w:tc>
        <w:tc>
          <w:tcPr>
            <w:tcW w:type="dxa" w:w="2045"/>
            <w:vAlign w:val="center"/>
          </w:tcPr>
          <w:p>
            <w:r/>
            <w:r>
              <w:rPr>
                <w:rFonts w:ascii="Times New Roman" w:hAnsi="Times New Roman"/>
                <w:b w:val="0"/>
                <w:sz w:val="16"/>
              </w:rPr>
              <w:t>6.93 ± 0.08</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Off-center</w:t>
            </w:r>
          </w:p>
        </w:tc>
        <w:tc>
          <w:tcPr>
            <w:tcW w:type="dxa" w:w="2045"/>
            <w:vAlign w:val="center"/>
          </w:tcPr>
          <w:p>
            <w:r/>
            <w:r>
              <w:rPr>
                <w:rFonts w:ascii="Times New Roman" w:hAnsi="Times New Roman"/>
                <w:b w:val="0"/>
                <w:sz w:val="16"/>
              </w:rPr>
              <w:t>0.7862 ± 0.0114</w:t>
            </w:r>
          </w:p>
        </w:tc>
        <w:tc>
          <w:tcPr>
            <w:tcW w:type="dxa" w:w="2045"/>
            <w:vAlign w:val="center"/>
          </w:tcPr>
          <w:p>
            <w:r/>
            <w:r>
              <w:rPr>
                <w:rFonts w:ascii="Times New Roman" w:hAnsi="Times New Roman"/>
                <w:b w:val="0"/>
                <w:sz w:val="16"/>
              </w:rPr>
              <w:t>0.9297 ± 0.0054</w:t>
            </w:r>
          </w:p>
        </w:tc>
        <w:tc>
          <w:tcPr>
            <w:tcW w:type="dxa" w:w="2045"/>
            <w:vAlign w:val="center"/>
          </w:tcPr>
          <w:p>
            <w:r/>
            <w:r>
              <w:rPr>
                <w:rFonts w:ascii="Times New Roman" w:hAnsi="Times New Roman"/>
                <w:b w:val="0"/>
                <w:sz w:val="16"/>
              </w:rPr>
              <w:t>8.75 ± 0.48</w:t>
            </w:r>
          </w:p>
        </w:tc>
      </w:tr>
    </w:tbl>
    <w:p>
      <w:pPr>
        <w:spacing w:after="20"/>
      </w:pPr>
    </w:p>
    <w:p>
      <w:pPr>
        <w:spacing w:after="80" w:line="240" w:lineRule="auto"/>
        <w:ind w:firstLine="259"/>
        <w:jc w:val="both"/>
      </w:pPr>
      <w:r>
        <w:rPr>
          <w:rFonts w:ascii="Times New Roman" w:hAnsi="Times New Roman"/>
          <w:b w:val="0"/>
          <w:i w:val="0"/>
          <w:color w:val="FF0000"/>
          <w:sz w:val="20"/>
        </w:rPr>
        <w:t>Across four repeated image-level splits, the standard deviation of PGA-UNet Dice remains below 0.012 in all rows, providing evidence that the observed PGA-UNet performance is not tied to a single favorable split. This analysis should be described as model-stability evidence; statistical superiority over a baseline requires the baseline to be evaluated on the same repeated splits.</w:t>
      </w:r>
    </w:p>
    <w:p>
      <w:pPr>
        <w:jc w:val="center"/>
      </w:pPr>
      <w:r>
        <w:drawing>
          <wp:inline xmlns:a="http://schemas.openxmlformats.org/drawingml/2006/main" xmlns:pic="http://schemas.openxmlformats.org/drawingml/2006/picture">
            <wp:extent cx="5212080" cy="6463247"/>
            <wp:docPr id="2" name="Picture 2"/>
            <wp:cNvGraphicFramePr>
              <a:graphicFrameLocks noChangeAspect="1"/>
            </wp:cNvGraphicFramePr>
            <a:graphic>
              <a:graphicData uri="http://schemas.openxmlformats.org/drawingml/2006/picture">
                <pic:pic>
                  <pic:nvPicPr>
                    <pic:cNvPr id="0" name="p6_img2.png"/>
                    <pic:cNvPicPr/>
                  </pic:nvPicPr>
                  <pic:blipFill>
                    <a:blip r:embed="rId12"/>
                    <a:stretch>
                      <a:fillRect/>
                    </a:stretch>
                  </pic:blipFill>
                  <pic:spPr>
                    <a:xfrm>
                      <a:off x="0" y="0"/>
                      <a:ext cx="5212080" cy="6463247"/>
                    </a:xfrm>
                    <a:prstGeom prst="rect"/>
                  </pic:spPr>
                </pic:pic>
              </a:graphicData>
            </a:graphic>
          </wp:inline>
        </w:drawing>
      </w:r>
    </w:p>
    <w:p>
      <w:pPr>
        <w:spacing w:after="120"/>
        <w:jc w:val="center"/>
      </w:pPr>
      <w:r>
        <w:rPr>
          <w:rFonts w:ascii="Times New Roman" w:hAnsi="Times New Roman"/>
          <w:b/>
          <w:sz w:val="16"/>
        </w:rPr>
        <w:t>FIGURE 2. Qualitative behavior under prompt perturbation. The examples compare covering and shifted prompt conditions on BTXRD and FracAtlas.</w:t>
      </w:r>
    </w:p>
    <w:p>
      <w:pPr>
        <w:spacing w:before="160" w:after="80"/>
      </w:pPr>
      <w:r>
        <w:rPr>
          <w:rFonts w:ascii="Arial" w:hAnsi="Arial"/>
          <w:b/>
          <w:sz w:val="20"/>
        </w:rPr>
        <w:t>C. Prompt-Free Automatic Reference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rFonts w:ascii="Times New Roman" w:hAnsi="Times New Roman"/>
                <w:b/>
                <w:sz w:val="16"/>
              </w:rPr>
              <w:t>Dataset</w:t>
            </w:r>
          </w:p>
        </w:tc>
        <w:tc>
          <w:tcPr>
            <w:tcW w:type="dxa" w:w="2045"/>
            <w:vAlign w:val="center"/>
            <w:shd w:fill="D9EAF7"/>
          </w:tcPr>
          <w:p>
            <w:r/>
            <w:r>
              <w:rPr>
                <w:rFonts w:ascii="Times New Roman" w:hAnsi="Times New Roman"/>
                <w:b/>
                <w:sz w:val="16"/>
              </w:rPr>
              <w:t>Model</w:t>
            </w:r>
          </w:p>
        </w:tc>
        <w:tc>
          <w:tcPr>
            <w:tcW w:type="dxa" w:w="2045"/>
            <w:vAlign w:val="center"/>
            <w:shd w:fill="D9EAF7"/>
          </w:tcPr>
          <w:p>
            <w:r/>
            <w:r>
              <w:rPr>
                <w:rFonts w:ascii="Times New Roman" w:hAnsi="Times New Roman"/>
                <w:b/>
                <w:sz w:val="16"/>
              </w:rPr>
              <w:t>Dice</w:t>
            </w:r>
          </w:p>
        </w:tc>
        <w:tc>
          <w:tcPr>
            <w:tcW w:type="dxa" w:w="2045"/>
            <w:vAlign w:val="center"/>
            <w:shd w:fill="D9EAF7"/>
          </w:tcPr>
          <w:p>
            <w:r/>
            <w:r>
              <w:rPr>
                <w:rFonts w:ascii="Times New Roman" w:hAnsi="Times New Roman"/>
                <w:b/>
                <w:sz w:val="16"/>
              </w:rPr>
              <w:t>CBL</w:t>
            </w:r>
          </w:p>
        </w:tc>
        <w:tc>
          <w:tcPr>
            <w:tcW w:type="dxa" w:w="2045"/>
            <w:vAlign w:val="center"/>
            <w:shd w:fill="D9EAF7"/>
          </w:tcPr>
          <w:p>
            <w:r/>
            <w:r>
              <w:rPr>
                <w:rFonts w:ascii="Times New Roman" w:hAnsi="Times New Roman"/>
                <w:b/>
                <w:sz w:val="16"/>
              </w:rPr>
              <w:t>HD95</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Attention U-Net</w:t>
            </w:r>
          </w:p>
        </w:tc>
        <w:tc>
          <w:tcPr>
            <w:tcW w:type="dxa" w:w="2045"/>
            <w:vAlign w:val="center"/>
          </w:tcPr>
          <w:p>
            <w:r/>
            <w:r>
              <w:rPr>
                <w:rFonts w:ascii="Times New Roman" w:hAnsi="Times New Roman"/>
                <w:b w:val="0"/>
                <w:sz w:val="16"/>
              </w:rPr>
              <w:t>0.5160</w:t>
            </w:r>
          </w:p>
        </w:tc>
        <w:tc>
          <w:tcPr>
            <w:tcW w:type="dxa" w:w="2045"/>
            <w:vAlign w:val="center"/>
          </w:tcPr>
          <w:p>
            <w:r/>
            <w:r>
              <w:rPr>
                <w:rFonts w:ascii="Times New Roman" w:hAnsi="Times New Roman"/>
                <w:b w:val="0"/>
                <w:sz w:val="16"/>
              </w:rPr>
              <w:t>0.5995</w:t>
            </w:r>
          </w:p>
        </w:tc>
        <w:tc>
          <w:tcPr>
            <w:tcW w:type="dxa" w:w="2045"/>
            <w:vAlign w:val="center"/>
          </w:tcPr>
          <w:p>
            <w:r/>
            <w:r>
              <w:rPr>
                <w:rFonts w:ascii="Times New Roman" w:hAnsi="Times New Roman"/>
                <w:b w:val="0"/>
                <w:sz w:val="16"/>
              </w:rPr>
              <w:t>129.67</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PGA-UNet + covering box</w:t>
            </w:r>
          </w:p>
        </w:tc>
        <w:tc>
          <w:tcPr>
            <w:tcW w:type="dxa" w:w="2045"/>
            <w:vAlign w:val="center"/>
          </w:tcPr>
          <w:p>
            <w:r/>
            <w:r>
              <w:rPr>
                <w:rFonts w:ascii="Times New Roman" w:hAnsi="Times New Roman"/>
                <w:b w:val="0"/>
                <w:sz w:val="16"/>
              </w:rPr>
              <w:t>0.8788</w:t>
            </w:r>
          </w:p>
        </w:tc>
        <w:tc>
          <w:tcPr>
            <w:tcW w:type="dxa" w:w="2045"/>
            <w:vAlign w:val="center"/>
          </w:tcPr>
          <w:p>
            <w:r/>
            <w:r>
              <w:rPr>
                <w:rFonts w:ascii="Times New Roman" w:hAnsi="Times New Roman"/>
                <w:b w:val="0"/>
                <w:sz w:val="16"/>
              </w:rPr>
              <w:t>0.9619</w:t>
            </w:r>
          </w:p>
        </w:tc>
        <w:tc>
          <w:tcPr>
            <w:tcW w:type="dxa" w:w="2045"/>
            <w:vAlign w:val="center"/>
          </w:tcPr>
          <w:p>
            <w:r/>
            <w:r>
              <w:rPr>
                <w:rFonts w:ascii="Times New Roman" w:hAnsi="Times New Roman"/>
                <w:b w:val="0"/>
                <w:sz w:val="16"/>
              </w:rPr>
              <w:t>9.08</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Attention U-Net</w:t>
            </w:r>
          </w:p>
        </w:tc>
        <w:tc>
          <w:tcPr>
            <w:tcW w:type="dxa" w:w="2045"/>
            <w:vAlign w:val="center"/>
          </w:tcPr>
          <w:p>
            <w:r/>
            <w:r>
              <w:rPr>
                <w:rFonts w:ascii="Times New Roman" w:hAnsi="Times New Roman"/>
                <w:b w:val="0"/>
                <w:sz w:val="16"/>
              </w:rPr>
              <w:t>0.3075</w:t>
            </w:r>
          </w:p>
        </w:tc>
        <w:tc>
          <w:tcPr>
            <w:tcW w:type="dxa" w:w="2045"/>
            <w:vAlign w:val="center"/>
          </w:tcPr>
          <w:p>
            <w:r/>
            <w:r>
              <w:rPr>
                <w:rFonts w:ascii="Times New Roman" w:hAnsi="Times New Roman"/>
                <w:b w:val="0"/>
                <w:sz w:val="16"/>
              </w:rPr>
              <w:t>0.4658</w:t>
            </w:r>
          </w:p>
        </w:tc>
        <w:tc>
          <w:tcPr>
            <w:tcW w:type="dxa" w:w="2045"/>
            <w:vAlign w:val="center"/>
          </w:tcPr>
          <w:p>
            <w:r/>
            <w:r>
              <w:rPr>
                <w:rFonts w:ascii="Times New Roman" w:hAnsi="Times New Roman"/>
                <w:b w:val="0"/>
                <w:sz w:val="16"/>
              </w:rPr>
              <w:t>110.83</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PGA-UNet + covering box</w:t>
            </w:r>
          </w:p>
        </w:tc>
        <w:tc>
          <w:tcPr>
            <w:tcW w:type="dxa" w:w="2045"/>
            <w:vAlign w:val="center"/>
          </w:tcPr>
          <w:p>
            <w:r/>
            <w:r>
              <w:rPr>
                <w:rFonts w:ascii="Times New Roman" w:hAnsi="Times New Roman"/>
                <w:b w:val="0"/>
                <w:sz w:val="16"/>
              </w:rPr>
              <w:t>0.8286</w:t>
            </w:r>
          </w:p>
        </w:tc>
        <w:tc>
          <w:tcPr>
            <w:tcW w:type="dxa" w:w="2045"/>
            <w:vAlign w:val="center"/>
          </w:tcPr>
          <w:p>
            <w:r/>
            <w:r>
              <w:rPr>
                <w:rFonts w:ascii="Times New Roman" w:hAnsi="Times New Roman"/>
                <w:b w:val="0"/>
                <w:sz w:val="16"/>
              </w:rPr>
              <w:t>0.9615</w:t>
            </w:r>
          </w:p>
        </w:tc>
        <w:tc>
          <w:tcPr>
            <w:tcW w:type="dxa" w:w="2045"/>
            <w:vAlign w:val="center"/>
          </w:tcPr>
          <w:p>
            <w:r/>
            <w:r>
              <w:rPr>
                <w:rFonts w:ascii="Times New Roman" w:hAnsi="Times New Roman"/>
                <w:b w:val="0"/>
                <w:sz w:val="16"/>
              </w:rPr>
              <w:t>6.21</w:t>
            </w:r>
          </w:p>
        </w:tc>
      </w:tr>
    </w:tbl>
    <w:p>
      <w:pPr>
        <w:spacing w:after="20"/>
      </w:pPr>
    </w:p>
    <w:p>
      <w:pPr>
        <w:spacing w:after="80" w:line="240" w:lineRule="auto"/>
        <w:ind w:firstLine="259"/>
        <w:jc w:val="both"/>
      </w:pPr>
      <w:r>
        <w:rPr>
          <w:rFonts w:ascii="Times New Roman" w:hAnsi="Times New Roman"/>
          <w:b w:val="0"/>
          <w:i w:val="0"/>
          <w:color w:val="FF0000"/>
          <w:sz w:val="20"/>
        </w:rPr>
        <w:t>The large gap in this table quantifies the practical value of supplying spatial information, but the comparison is intentionally asymmetric because only PGA-UNet receives a lesion box. The table must therefore not be used to claim an architecture-level advantage. A fair estimate of the incremental contribution of PSG+CAD requires a conventional network supplied with the same box information.</w:t>
      </w:r>
    </w:p>
    <w:p>
      <w:pPr>
        <w:spacing w:before="160" w:after="80"/>
      </w:pPr>
      <w:r>
        <w:rPr>
          <w:rFonts w:ascii="Arial" w:hAnsi="Arial"/>
          <w:b/>
          <w:sz w:val="20"/>
        </w:rPr>
        <w:t>D. Attention U-Net Top- and Bottom-Dice Subsets</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EAF7"/>
          </w:tcPr>
          <w:p>
            <w:r/>
            <w:r>
              <w:rPr>
                <w:rFonts w:ascii="Times New Roman" w:hAnsi="Times New Roman"/>
                <w:b/>
                <w:sz w:val="14"/>
              </w:rPr>
              <w:t>Dataset</w:t>
            </w:r>
          </w:p>
        </w:tc>
        <w:tc>
          <w:tcPr>
            <w:tcW w:type="dxa" w:w="1704"/>
            <w:vAlign w:val="center"/>
            <w:shd w:fill="D9EAF7"/>
          </w:tcPr>
          <w:p>
            <w:r/>
            <w:r>
              <w:rPr>
                <w:rFonts w:ascii="Times New Roman" w:hAnsi="Times New Roman"/>
                <w:b/>
                <w:sz w:val="14"/>
              </w:rPr>
              <w:t>Group</w:t>
            </w:r>
          </w:p>
        </w:tc>
        <w:tc>
          <w:tcPr>
            <w:tcW w:type="dxa" w:w="1704"/>
            <w:vAlign w:val="center"/>
            <w:shd w:fill="D9EAF7"/>
          </w:tcPr>
          <w:p>
            <w:r/>
            <w:r>
              <w:rPr>
                <w:rFonts w:ascii="Times New Roman" w:hAnsi="Times New Roman"/>
                <w:b/>
                <w:sz w:val="14"/>
              </w:rPr>
              <w:t>Model</w:t>
            </w:r>
          </w:p>
        </w:tc>
        <w:tc>
          <w:tcPr>
            <w:tcW w:type="dxa" w:w="1704"/>
            <w:vAlign w:val="center"/>
            <w:shd w:fill="D9EAF7"/>
          </w:tcPr>
          <w:p>
            <w:r/>
            <w:r>
              <w:rPr>
                <w:rFonts w:ascii="Times New Roman" w:hAnsi="Times New Roman"/>
                <w:b/>
                <w:sz w:val="14"/>
              </w:rPr>
              <w:t>Dice</w:t>
            </w:r>
          </w:p>
        </w:tc>
        <w:tc>
          <w:tcPr>
            <w:tcW w:type="dxa" w:w="1704"/>
            <w:vAlign w:val="center"/>
            <w:shd w:fill="D9EAF7"/>
          </w:tcPr>
          <w:p>
            <w:r/>
            <w:r>
              <w:rPr>
                <w:rFonts w:ascii="Times New Roman" w:hAnsi="Times New Roman"/>
                <w:b/>
                <w:sz w:val="14"/>
              </w:rPr>
              <w:t>CBL</w:t>
            </w:r>
          </w:p>
        </w:tc>
        <w:tc>
          <w:tcPr>
            <w:tcW w:type="dxa" w:w="1704"/>
            <w:vAlign w:val="center"/>
            <w:shd w:fill="D9EAF7"/>
          </w:tcPr>
          <w:p>
            <w:r/>
            <w:r>
              <w:rPr>
                <w:rFonts w:ascii="Times New Roman" w:hAnsi="Times New Roman"/>
                <w:b/>
                <w:sz w:val="14"/>
              </w:rPr>
              <w:t>HD95</w:t>
            </w:r>
          </w:p>
        </w:tc>
      </w:tr>
      <w:tr>
        <w:tc>
          <w:tcPr>
            <w:tcW w:type="dxa" w:w="1704"/>
            <w:vAlign w:val="center"/>
          </w:tcPr>
          <w:p>
            <w:r/>
            <w:r>
              <w:rPr>
                <w:rFonts w:ascii="Times New Roman" w:hAnsi="Times New Roman"/>
                <w:b w:val="0"/>
                <w:sz w:val="14"/>
              </w:rPr>
              <w:t>BTXRD</w:t>
            </w:r>
          </w:p>
        </w:tc>
        <w:tc>
          <w:tcPr>
            <w:tcW w:type="dxa" w:w="1704"/>
            <w:vAlign w:val="center"/>
          </w:tcPr>
          <w:p>
            <w:r/>
            <w:r>
              <w:rPr>
                <w:rFonts w:ascii="Times New Roman" w:hAnsi="Times New Roman"/>
                <w:b w:val="0"/>
                <w:sz w:val="14"/>
              </w:rPr>
              <w:t>Top-Dice</w:t>
            </w:r>
          </w:p>
        </w:tc>
        <w:tc>
          <w:tcPr>
            <w:tcW w:type="dxa" w:w="1704"/>
            <w:vAlign w:val="center"/>
          </w:tcPr>
          <w:p>
            <w:r/>
            <w:r>
              <w:rPr>
                <w:rFonts w:ascii="Times New Roman" w:hAnsi="Times New Roman"/>
                <w:b w:val="0"/>
                <w:sz w:val="14"/>
              </w:rPr>
              <w:t>Attention U-Net</w:t>
            </w:r>
          </w:p>
        </w:tc>
        <w:tc>
          <w:tcPr>
            <w:tcW w:type="dxa" w:w="1704"/>
            <w:vAlign w:val="center"/>
          </w:tcPr>
          <w:p>
            <w:r/>
            <w:r>
              <w:rPr>
                <w:rFonts w:ascii="Times New Roman" w:hAnsi="Times New Roman"/>
                <w:b w:val="0"/>
                <w:sz w:val="14"/>
              </w:rPr>
              <w:t>0.8629</w:t>
            </w:r>
          </w:p>
        </w:tc>
        <w:tc>
          <w:tcPr>
            <w:tcW w:type="dxa" w:w="1704"/>
            <w:vAlign w:val="center"/>
          </w:tcPr>
          <w:p>
            <w:r/>
            <w:r>
              <w:rPr>
                <w:rFonts w:ascii="Times New Roman" w:hAnsi="Times New Roman"/>
                <w:b w:val="0"/>
                <w:sz w:val="14"/>
              </w:rPr>
              <w:t>0.9436</w:t>
            </w:r>
          </w:p>
        </w:tc>
        <w:tc>
          <w:tcPr>
            <w:tcW w:type="dxa" w:w="1704"/>
            <w:vAlign w:val="center"/>
          </w:tcPr>
          <w:p>
            <w:r/>
            <w:r>
              <w:rPr>
                <w:rFonts w:ascii="Times New Roman" w:hAnsi="Times New Roman"/>
                <w:b w:val="0"/>
                <w:sz w:val="14"/>
              </w:rPr>
              <w:t>39.32</w:t>
            </w:r>
          </w:p>
        </w:tc>
      </w:tr>
      <w:tr>
        <w:tc>
          <w:tcPr>
            <w:tcW w:type="dxa" w:w="1704"/>
            <w:vAlign w:val="center"/>
          </w:tcPr>
          <w:p>
            <w:r/>
            <w:r>
              <w:rPr>
                <w:rFonts w:ascii="Times New Roman" w:hAnsi="Times New Roman"/>
                <w:b w:val="0"/>
                <w:sz w:val="14"/>
              </w:rPr>
              <w:t>BTXRD</w:t>
            </w:r>
          </w:p>
        </w:tc>
        <w:tc>
          <w:tcPr>
            <w:tcW w:type="dxa" w:w="1704"/>
            <w:vAlign w:val="center"/>
          </w:tcPr>
          <w:p>
            <w:r/>
            <w:r>
              <w:rPr>
                <w:rFonts w:ascii="Times New Roman" w:hAnsi="Times New Roman"/>
                <w:b w:val="0"/>
                <w:sz w:val="14"/>
              </w:rPr>
              <w:t>Top-Dice</w:t>
            </w:r>
          </w:p>
        </w:tc>
        <w:tc>
          <w:tcPr>
            <w:tcW w:type="dxa" w:w="1704"/>
            <w:vAlign w:val="center"/>
          </w:tcPr>
          <w:p>
            <w:r/>
            <w:r>
              <w:rPr>
                <w:rFonts w:ascii="Times New Roman" w:hAnsi="Times New Roman"/>
                <w:b w:val="0"/>
                <w:sz w:val="14"/>
              </w:rPr>
              <w:t>PGA-UNet</w:t>
            </w:r>
          </w:p>
        </w:tc>
        <w:tc>
          <w:tcPr>
            <w:tcW w:type="dxa" w:w="1704"/>
            <w:vAlign w:val="center"/>
          </w:tcPr>
          <w:p>
            <w:r/>
            <w:r>
              <w:rPr>
                <w:rFonts w:ascii="Times New Roman" w:hAnsi="Times New Roman"/>
                <w:b w:val="0"/>
                <w:sz w:val="14"/>
              </w:rPr>
              <w:t>0.9036</w:t>
            </w:r>
          </w:p>
        </w:tc>
        <w:tc>
          <w:tcPr>
            <w:tcW w:type="dxa" w:w="1704"/>
            <w:vAlign w:val="center"/>
          </w:tcPr>
          <w:p>
            <w:r/>
            <w:r>
              <w:rPr>
                <w:rFonts w:ascii="Times New Roman" w:hAnsi="Times New Roman"/>
                <w:b w:val="0"/>
                <w:sz w:val="14"/>
              </w:rPr>
              <w:t>0.9709</w:t>
            </w:r>
          </w:p>
        </w:tc>
        <w:tc>
          <w:tcPr>
            <w:tcW w:type="dxa" w:w="1704"/>
            <w:vAlign w:val="center"/>
          </w:tcPr>
          <w:p>
            <w:r/>
            <w:r>
              <w:rPr>
                <w:rFonts w:ascii="Times New Roman" w:hAnsi="Times New Roman"/>
                <w:b w:val="0"/>
                <w:sz w:val="14"/>
              </w:rPr>
              <w:t>9.23</w:t>
            </w:r>
          </w:p>
        </w:tc>
      </w:tr>
      <w:tr>
        <w:tc>
          <w:tcPr>
            <w:tcW w:type="dxa" w:w="1704"/>
            <w:vAlign w:val="center"/>
          </w:tcPr>
          <w:p>
            <w:r/>
            <w:r>
              <w:rPr>
                <w:rFonts w:ascii="Times New Roman" w:hAnsi="Times New Roman"/>
                <w:b w:val="0"/>
                <w:sz w:val="14"/>
              </w:rPr>
              <w:t>BTXRD</w:t>
            </w:r>
          </w:p>
        </w:tc>
        <w:tc>
          <w:tcPr>
            <w:tcW w:type="dxa" w:w="1704"/>
            <w:vAlign w:val="center"/>
          </w:tcPr>
          <w:p>
            <w:r/>
            <w:r>
              <w:rPr>
                <w:rFonts w:ascii="Times New Roman" w:hAnsi="Times New Roman"/>
                <w:b w:val="0"/>
                <w:sz w:val="14"/>
              </w:rPr>
              <w:t>Bottom-Dice</w:t>
            </w:r>
          </w:p>
        </w:tc>
        <w:tc>
          <w:tcPr>
            <w:tcW w:type="dxa" w:w="1704"/>
            <w:vAlign w:val="center"/>
          </w:tcPr>
          <w:p>
            <w:r/>
            <w:r>
              <w:rPr>
                <w:rFonts w:ascii="Times New Roman" w:hAnsi="Times New Roman"/>
                <w:b w:val="0"/>
                <w:sz w:val="14"/>
              </w:rPr>
              <w:t>Attention U-Net</w:t>
            </w:r>
          </w:p>
        </w:tc>
        <w:tc>
          <w:tcPr>
            <w:tcW w:type="dxa" w:w="1704"/>
            <w:vAlign w:val="center"/>
          </w:tcPr>
          <w:p>
            <w:r/>
            <w:r>
              <w:rPr>
                <w:rFonts w:ascii="Times New Roman" w:hAnsi="Times New Roman"/>
                <w:b w:val="0"/>
                <w:sz w:val="14"/>
              </w:rPr>
              <w:t>0.0335</w:t>
            </w:r>
          </w:p>
        </w:tc>
        <w:tc>
          <w:tcPr>
            <w:tcW w:type="dxa" w:w="1704"/>
            <w:vAlign w:val="center"/>
          </w:tcPr>
          <w:p>
            <w:r/>
            <w:r>
              <w:rPr>
                <w:rFonts w:ascii="Times New Roman" w:hAnsi="Times New Roman"/>
                <w:b w:val="0"/>
                <w:sz w:val="14"/>
              </w:rPr>
              <w:t>0.0928</w:t>
            </w:r>
          </w:p>
        </w:tc>
        <w:tc>
          <w:tcPr>
            <w:tcW w:type="dxa" w:w="1704"/>
            <w:vAlign w:val="center"/>
          </w:tcPr>
          <w:p>
            <w:r/>
            <w:r>
              <w:rPr>
                <w:rFonts w:ascii="Times New Roman" w:hAnsi="Times New Roman"/>
                <w:b w:val="0"/>
                <w:sz w:val="14"/>
              </w:rPr>
              <w:t>270.72</w:t>
            </w:r>
          </w:p>
        </w:tc>
      </w:tr>
      <w:tr>
        <w:tc>
          <w:tcPr>
            <w:tcW w:type="dxa" w:w="1704"/>
            <w:vAlign w:val="center"/>
          </w:tcPr>
          <w:p>
            <w:r/>
            <w:r>
              <w:rPr>
                <w:rFonts w:ascii="Times New Roman" w:hAnsi="Times New Roman"/>
                <w:b w:val="0"/>
                <w:sz w:val="14"/>
              </w:rPr>
              <w:t>BTXRD</w:t>
            </w:r>
          </w:p>
        </w:tc>
        <w:tc>
          <w:tcPr>
            <w:tcW w:type="dxa" w:w="1704"/>
            <w:vAlign w:val="center"/>
          </w:tcPr>
          <w:p>
            <w:r/>
            <w:r>
              <w:rPr>
                <w:rFonts w:ascii="Times New Roman" w:hAnsi="Times New Roman"/>
                <w:b w:val="0"/>
                <w:sz w:val="14"/>
              </w:rPr>
              <w:t>Bottom-Dice</w:t>
            </w:r>
          </w:p>
        </w:tc>
        <w:tc>
          <w:tcPr>
            <w:tcW w:type="dxa" w:w="1704"/>
            <w:vAlign w:val="center"/>
          </w:tcPr>
          <w:p>
            <w:r/>
            <w:r>
              <w:rPr>
                <w:rFonts w:ascii="Times New Roman" w:hAnsi="Times New Roman"/>
                <w:b w:val="0"/>
                <w:sz w:val="14"/>
              </w:rPr>
              <w:t>PGA-UNet</w:t>
            </w:r>
          </w:p>
        </w:tc>
        <w:tc>
          <w:tcPr>
            <w:tcW w:type="dxa" w:w="1704"/>
            <w:vAlign w:val="center"/>
          </w:tcPr>
          <w:p>
            <w:r/>
            <w:r>
              <w:rPr>
                <w:rFonts w:ascii="Times New Roman" w:hAnsi="Times New Roman"/>
                <w:b w:val="0"/>
                <w:sz w:val="14"/>
              </w:rPr>
              <w:t>0.8521</w:t>
            </w:r>
          </w:p>
        </w:tc>
        <w:tc>
          <w:tcPr>
            <w:tcW w:type="dxa" w:w="1704"/>
            <w:vAlign w:val="center"/>
          </w:tcPr>
          <w:p>
            <w:r/>
            <w:r>
              <w:rPr>
                <w:rFonts w:ascii="Times New Roman" w:hAnsi="Times New Roman"/>
                <w:b w:val="0"/>
                <w:sz w:val="14"/>
              </w:rPr>
              <w:t>0.9459</w:t>
            </w:r>
          </w:p>
        </w:tc>
        <w:tc>
          <w:tcPr>
            <w:tcW w:type="dxa" w:w="1704"/>
            <w:vAlign w:val="center"/>
          </w:tcPr>
          <w:p>
            <w:r/>
            <w:r>
              <w:rPr>
                <w:rFonts w:ascii="Times New Roman" w:hAnsi="Times New Roman"/>
                <w:b w:val="0"/>
                <w:sz w:val="14"/>
              </w:rPr>
              <w:t>5.19</w:t>
            </w:r>
          </w:p>
        </w:tc>
      </w:tr>
      <w:tr>
        <w:tc>
          <w:tcPr>
            <w:tcW w:type="dxa" w:w="1704"/>
            <w:vAlign w:val="center"/>
          </w:tcPr>
          <w:p>
            <w:r/>
            <w:r>
              <w:rPr>
                <w:rFonts w:ascii="Times New Roman" w:hAnsi="Times New Roman"/>
                <w:b w:val="0"/>
                <w:sz w:val="14"/>
              </w:rPr>
              <w:t>FracAtlas</w:t>
            </w:r>
          </w:p>
        </w:tc>
        <w:tc>
          <w:tcPr>
            <w:tcW w:type="dxa" w:w="1704"/>
            <w:vAlign w:val="center"/>
          </w:tcPr>
          <w:p>
            <w:r/>
            <w:r>
              <w:rPr>
                <w:rFonts w:ascii="Times New Roman" w:hAnsi="Times New Roman"/>
                <w:b w:val="0"/>
                <w:sz w:val="14"/>
              </w:rPr>
              <w:t>Top-Dice</w:t>
            </w:r>
          </w:p>
        </w:tc>
        <w:tc>
          <w:tcPr>
            <w:tcW w:type="dxa" w:w="1704"/>
            <w:vAlign w:val="center"/>
          </w:tcPr>
          <w:p>
            <w:r/>
            <w:r>
              <w:rPr>
                <w:rFonts w:ascii="Times New Roman" w:hAnsi="Times New Roman"/>
                <w:b w:val="0"/>
                <w:sz w:val="14"/>
              </w:rPr>
              <w:t>Attention U-Net</w:t>
            </w:r>
          </w:p>
        </w:tc>
        <w:tc>
          <w:tcPr>
            <w:tcW w:type="dxa" w:w="1704"/>
            <w:vAlign w:val="center"/>
          </w:tcPr>
          <w:p>
            <w:r/>
            <w:r>
              <w:rPr>
                <w:rFonts w:ascii="Times New Roman" w:hAnsi="Times New Roman"/>
                <w:b w:val="0"/>
                <w:sz w:val="14"/>
              </w:rPr>
              <w:t>0.4428</w:t>
            </w:r>
          </w:p>
        </w:tc>
        <w:tc>
          <w:tcPr>
            <w:tcW w:type="dxa" w:w="1704"/>
            <w:vAlign w:val="center"/>
          </w:tcPr>
          <w:p>
            <w:r/>
            <w:r>
              <w:rPr>
                <w:rFonts w:ascii="Times New Roman" w:hAnsi="Times New Roman"/>
                <w:b w:val="0"/>
                <w:sz w:val="14"/>
              </w:rPr>
              <w:t>0.6277</w:t>
            </w:r>
          </w:p>
        </w:tc>
        <w:tc>
          <w:tcPr>
            <w:tcW w:type="dxa" w:w="1704"/>
            <w:vAlign w:val="center"/>
          </w:tcPr>
          <w:p>
            <w:r/>
            <w:r>
              <w:rPr>
                <w:rFonts w:ascii="Times New Roman" w:hAnsi="Times New Roman"/>
                <w:b w:val="0"/>
                <w:sz w:val="14"/>
              </w:rPr>
              <w:t>82.08</w:t>
            </w:r>
          </w:p>
        </w:tc>
      </w:tr>
      <w:tr>
        <w:tc>
          <w:tcPr>
            <w:tcW w:type="dxa" w:w="1704"/>
            <w:vAlign w:val="center"/>
          </w:tcPr>
          <w:p>
            <w:r/>
            <w:r>
              <w:rPr>
                <w:rFonts w:ascii="Times New Roman" w:hAnsi="Times New Roman"/>
                <w:b w:val="0"/>
                <w:sz w:val="14"/>
              </w:rPr>
              <w:t>FracAtlas</w:t>
            </w:r>
          </w:p>
        </w:tc>
        <w:tc>
          <w:tcPr>
            <w:tcW w:type="dxa" w:w="1704"/>
            <w:vAlign w:val="center"/>
          </w:tcPr>
          <w:p>
            <w:r/>
            <w:r>
              <w:rPr>
                <w:rFonts w:ascii="Times New Roman" w:hAnsi="Times New Roman"/>
                <w:b w:val="0"/>
                <w:sz w:val="14"/>
              </w:rPr>
              <w:t>Top-Dice</w:t>
            </w:r>
          </w:p>
        </w:tc>
        <w:tc>
          <w:tcPr>
            <w:tcW w:type="dxa" w:w="1704"/>
            <w:vAlign w:val="center"/>
          </w:tcPr>
          <w:p>
            <w:r/>
            <w:r>
              <w:rPr>
                <w:rFonts w:ascii="Times New Roman" w:hAnsi="Times New Roman"/>
                <w:b w:val="0"/>
                <w:sz w:val="14"/>
              </w:rPr>
              <w:t>PGA-UNet</w:t>
            </w:r>
          </w:p>
        </w:tc>
        <w:tc>
          <w:tcPr>
            <w:tcW w:type="dxa" w:w="1704"/>
            <w:vAlign w:val="center"/>
          </w:tcPr>
          <w:p>
            <w:r/>
            <w:r>
              <w:rPr>
                <w:rFonts w:ascii="Times New Roman" w:hAnsi="Times New Roman"/>
                <w:b w:val="0"/>
                <w:sz w:val="14"/>
              </w:rPr>
              <w:t>0.8318</w:t>
            </w:r>
          </w:p>
        </w:tc>
        <w:tc>
          <w:tcPr>
            <w:tcW w:type="dxa" w:w="1704"/>
            <w:vAlign w:val="center"/>
          </w:tcPr>
          <w:p>
            <w:r/>
            <w:r>
              <w:rPr>
                <w:rFonts w:ascii="Times New Roman" w:hAnsi="Times New Roman"/>
                <w:b w:val="0"/>
                <w:sz w:val="14"/>
              </w:rPr>
              <w:t>0.9666</w:t>
            </w:r>
          </w:p>
        </w:tc>
        <w:tc>
          <w:tcPr>
            <w:tcW w:type="dxa" w:w="1704"/>
            <w:vAlign w:val="center"/>
          </w:tcPr>
          <w:p>
            <w:r/>
            <w:r>
              <w:rPr>
                <w:rFonts w:ascii="Times New Roman" w:hAnsi="Times New Roman"/>
                <w:b w:val="0"/>
                <w:sz w:val="14"/>
              </w:rPr>
              <w:t>6.37</w:t>
            </w:r>
          </w:p>
        </w:tc>
      </w:tr>
      <w:tr>
        <w:tc>
          <w:tcPr>
            <w:tcW w:type="dxa" w:w="1704"/>
            <w:vAlign w:val="center"/>
          </w:tcPr>
          <w:p>
            <w:r/>
            <w:r>
              <w:rPr>
                <w:rFonts w:ascii="Times New Roman" w:hAnsi="Times New Roman"/>
                <w:b w:val="0"/>
                <w:sz w:val="14"/>
              </w:rPr>
              <w:t>FracAtlas</w:t>
            </w:r>
          </w:p>
        </w:tc>
        <w:tc>
          <w:tcPr>
            <w:tcW w:type="dxa" w:w="1704"/>
            <w:vAlign w:val="center"/>
          </w:tcPr>
          <w:p>
            <w:r/>
            <w:r>
              <w:rPr>
                <w:rFonts w:ascii="Times New Roman" w:hAnsi="Times New Roman"/>
                <w:b w:val="0"/>
                <w:sz w:val="14"/>
              </w:rPr>
              <w:t>Bottom-Dice</w:t>
            </w:r>
          </w:p>
        </w:tc>
        <w:tc>
          <w:tcPr>
            <w:tcW w:type="dxa" w:w="1704"/>
            <w:vAlign w:val="center"/>
          </w:tcPr>
          <w:p>
            <w:r/>
            <w:r>
              <w:rPr>
                <w:rFonts w:ascii="Times New Roman" w:hAnsi="Times New Roman"/>
                <w:b w:val="0"/>
                <w:sz w:val="14"/>
              </w:rPr>
              <w:t>Attention U-Net</w:t>
            </w:r>
          </w:p>
        </w:tc>
        <w:tc>
          <w:tcPr>
            <w:tcW w:type="dxa" w:w="1704"/>
            <w:vAlign w:val="center"/>
          </w:tcPr>
          <w:p>
            <w:r/>
            <w:r>
              <w:rPr>
                <w:rFonts w:ascii="Times New Roman" w:hAnsi="Times New Roman"/>
                <w:b w:val="0"/>
                <w:sz w:val="14"/>
              </w:rPr>
              <w:t>0.1529</w:t>
            </w:r>
          </w:p>
        </w:tc>
        <w:tc>
          <w:tcPr>
            <w:tcW w:type="dxa" w:w="1704"/>
            <w:vAlign w:val="center"/>
          </w:tcPr>
          <w:p>
            <w:r/>
            <w:r>
              <w:rPr>
                <w:rFonts w:ascii="Times New Roman" w:hAnsi="Times New Roman"/>
                <w:b w:val="0"/>
                <w:sz w:val="14"/>
              </w:rPr>
              <w:t>0.3345</w:t>
            </w:r>
          </w:p>
        </w:tc>
        <w:tc>
          <w:tcPr>
            <w:tcW w:type="dxa" w:w="1704"/>
            <w:vAlign w:val="center"/>
          </w:tcPr>
          <w:p>
            <w:r/>
            <w:r>
              <w:rPr>
                <w:rFonts w:ascii="Times New Roman" w:hAnsi="Times New Roman"/>
                <w:b w:val="0"/>
                <w:sz w:val="14"/>
              </w:rPr>
              <w:t>135.76</w:t>
            </w:r>
          </w:p>
        </w:tc>
      </w:tr>
      <w:tr>
        <w:tc>
          <w:tcPr>
            <w:tcW w:type="dxa" w:w="1704"/>
            <w:vAlign w:val="center"/>
          </w:tcPr>
          <w:p>
            <w:r/>
            <w:r>
              <w:rPr>
                <w:rFonts w:ascii="Times New Roman" w:hAnsi="Times New Roman"/>
                <w:b w:val="0"/>
                <w:sz w:val="14"/>
              </w:rPr>
              <w:t>FracAtlas</w:t>
            </w:r>
          </w:p>
        </w:tc>
        <w:tc>
          <w:tcPr>
            <w:tcW w:type="dxa" w:w="1704"/>
            <w:vAlign w:val="center"/>
          </w:tcPr>
          <w:p>
            <w:r/>
            <w:r>
              <w:rPr>
                <w:rFonts w:ascii="Times New Roman" w:hAnsi="Times New Roman"/>
                <w:b w:val="0"/>
                <w:sz w:val="14"/>
              </w:rPr>
              <w:t>Bottom-Dice</w:t>
            </w:r>
          </w:p>
        </w:tc>
        <w:tc>
          <w:tcPr>
            <w:tcW w:type="dxa" w:w="1704"/>
            <w:vAlign w:val="center"/>
          </w:tcPr>
          <w:p>
            <w:r/>
            <w:r>
              <w:rPr>
                <w:rFonts w:ascii="Times New Roman" w:hAnsi="Times New Roman"/>
                <w:b w:val="0"/>
                <w:sz w:val="14"/>
              </w:rPr>
              <w:t>PGA-UNet</w:t>
            </w:r>
          </w:p>
        </w:tc>
        <w:tc>
          <w:tcPr>
            <w:tcW w:type="dxa" w:w="1704"/>
            <w:vAlign w:val="center"/>
          </w:tcPr>
          <w:p>
            <w:r/>
            <w:r>
              <w:rPr>
                <w:rFonts w:ascii="Times New Roman" w:hAnsi="Times New Roman"/>
                <w:b w:val="0"/>
                <w:sz w:val="14"/>
              </w:rPr>
              <w:t>0.8151</w:t>
            </w:r>
          </w:p>
        </w:tc>
        <w:tc>
          <w:tcPr>
            <w:tcW w:type="dxa" w:w="1704"/>
            <w:vAlign w:val="center"/>
          </w:tcPr>
          <w:p>
            <w:r/>
            <w:r>
              <w:rPr>
                <w:rFonts w:ascii="Times New Roman" w:hAnsi="Times New Roman"/>
                <w:b w:val="0"/>
                <w:sz w:val="14"/>
              </w:rPr>
              <w:t>0.9582</w:t>
            </w:r>
          </w:p>
        </w:tc>
        <w:tc>
          <w:tcPr>
            <w:tcW w:type="dxa" w:w="1704"/>
            <w:vAlign w:val="center"/>
          </w:tcPr>
          <w:p>
            <w:r/>
            <w:r>
              <w:rPr>
                <w:rFonts w:ascii="Times New Roman" w:hAnsi="Times New Roman"/>
                <w:b w:val="0"/>
                <w:sz w:val="14"/>
              </w:rPr>
              <w:t>6.25</w:t>
            </w:r>
          </w:p>
        </w:tc>
      </w:tr>
    </w:tbl>
    <w:p>
      <w:pPr>
        <w:spacing w:after="20"/>
      </w:pPr>
    </w:p>
    <w:p>
      <w:pPr>
        <w:spacing w:after="80" w:line="240" w:lineRule="auto"/>
        <w:ind w:firstLine="259"/>
        <w:jc w:val="both"/>
      </w:pPr>
      <w:r>
        <w:rPr>
          <w:rFonts w:ascii="Times New Roman" w:hAnsi="Times New Roman"/>
          <w:b w:val="0"/>
          <w:i w:val="0"/>
          <w:color w:val="FF0000"/>
          <w:sz w:val="20"/>
        </w:rPr>
        <w:t>These subsets are defined by Attention U-Net performance and therefore characterize cases in which the automatic reference is relatively successful or unsuccessful; they are not objective difficulty groups. The analysis is useful descriptively, but it should remain secondary to prompt-matched comparisons.</w:t>
      </w:r>
    </w:p>
    <w:p>
      <w:pPr>
        <w:jc w:val="center"/>
      </w:pPr>
      <w:r>
        <w:drawing>
          <wp:inline xmlns:a="http://schemas.openxmlformats.org/drawingml/2006/main" xmlns:pic="http://schemas.openxmlformats.org/drawingml/2006/picture">
            <wp:extent cx="5303520" cy="5733896"/>
            <wp:docPr id="3" name="Picture 3"/>
            <wp:cNvGraphicFramePr>
              <a:graphicFrameLocks noChangeAspect="1"/>
            </wp:cNvGraphicFramePr>
            <a:graphic>
              <a:graphicData uri="http://schemas.openxmlformats.org/drawingml/2006/picture">
                <pic:pic>
                  <pic:nvPicPr>
                    <pic:cNvPr id="0" name="p7_img2.png"/>
                    <pic:cNvPicPr/>
                  </pic:nvPicPr>
                  <pic:blipFill>
                    <a:blip r:embed="rId13"/>
                    <a:stretch>
                      <a:fillRect/>
                    </a:stretch>
                  </pic:blipFill>
                  <pic:spPr>
                    <a:xfrm>
                      <a:off x="0" y="0"/>
                      <a:ext cx="5303520" cy="5733896"/>
                    </a:xfrm>
                    <a:prstGeom prst="rect"/>
                  </pic:spPr>
                </pic:pic>
              </a:graphicData>
            </a:graphic>
          </wp:inline>
        </w:drawing>
      </w:r>
    </w:p>
    <w:p>
      <w:pPr>
        <w:spacing w:after="120"/>
        <w:jc w:val="center"/>
      </w:pPr>
      <w:r>
        <w:rPr>
          <w:rFonts w:ascii="Times New Roman" w:hAnsi="Times New Roman"/>
          <w:b/>
          <w:sz w:val="16"/>
        </w:rPr>
        <w:t>FIGURE 3. Qualitative comparison between Attention U-Net and PGA-UNet on representative BTXRD cases.</w:t>
      </w:r>
    </w:p>
    <w:p>
      <w:pPr>
        <w:spacing w:before="160" w:after="80"/>
      </w:pPr>
      <w:r>
        <w:rPr>
          <w:rFonts w:ascii="Arial" w:hAnsi="Arial"/>
          <w:b/>
          <w:sz w:val="20"/>
        </w:rPr>
        <w:t>E. Matched Comparison With Fine-Tuned SAM-Med2D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Times New Roman" w:hAnsi="Times New Roman"/>
                <w:b/>
                <w:sz w:val="16"/>
              </w:rPr>
              <w:t>Dataset</w:t>
            </w:r>
          </w:p>
        </w:tc>
        <w:tc>
          <w:tcPr>
            <w:tcW w:type="dxa" w:w="2556"/>
            <w:vAlign w:val="center"/>
            <w:shd w:fill="D9EAF7"/>
          </w:tcPr>
          <w:p>
            <w:r/>
            <w:r>
              <w:rPr>
                <w:rFonts w:ascii="Times New Roman" w:hAnsi="Times New Roman"/>
                <w:b/>
                <w:sz w:val="16"/>
              </w:rPr>
              <w:t>Prompt</w:t>
            </w:r>
          </w:p>
        </w:tc>
        <w:tc>
          <w:tcPr>
            <w:tcW w:type="dxa" w:w="2556"/>
            <w:vAlign w:val="center"/>
            <w:shd w:fill="D9EAF7"/>
          </w:tcPr>
          <w:p>
            <w:r/>
            <w:r>
              <w:rPr>
                <w:rFonts w:ascii="Times New Roman" w:hAnsi="Times New Roman"/>
                <w:b/>
                <w:sz w:val="16"/>
              </w:rPr>
              <w:t>PGA-UNet</w:t>
            </w:r>
          </w:p>
        </w:tc>
        <w:tc>
          <w:tcPr>
            <w:tcW w:type="dxa" w:w="2556"/>
            <w:vAlign w:val="center"/>
            <w:shd w:fill="D9EAF7"/>
          </w:tcPr>
          <w:p>
            <w:r/>
            <w:r>
              <w:rPr>
                <w:rFonts w:ascii="Times New Roman" w:hAnsi="Times New Roman"/>
                <w:b/>
                <w:sz w:val="16"/>
              </w:rPr>
              <w:t>SAM-Med2D-FT</w:t>
            </w:r>
          </w:p>
        </w:tc>
      </w:tr>
      <w:tr>
        <w:tc>
          <w:tcPr>
            <w:tcW w:type="dxa" w:w="2556"/>
            <w:vAlign w:val="center"/>
          </w:tcPr>
          <w:p>
            <w:r/>
            <w:r>
              <w:rPr>
                <w:rFonts w:ascii="Times New Roman" w:hAnsi="Times New Roman"/>
                <w:b w:val="0"/>
                <w:sz w:val="16"/>
              </w:rPr>
              <w:t>BTXRD</w:t>
            </w:r>
          </w:p>
        </w:tc>
        <w:tc>
          <w:tcPr>
            <w:tcW w:type="dxa" w:w="2556"/>
            <w:vAlign w:val="center"/>
          </w:tcPr>
          <w:p>
            <w:r/>
            <w:r>
              <w:rPr>
                <w:rFonts w:ascii="Times New Roman" w:hAnsi="Times New Roman"/>
                <w:b w:val="0"/>
                <w:sz w:val="16"/>
              </w:rPr>
              <w:t>Covering</w:t>
            </w:r>
          </w:p>
        </w:tc>
        <w:tc>
          <w:tcPr>
            <w:tcW w:type="dxa" w:w="2556"/>
            <w:vAlign w:val="center"/>
          </w:tcPr>
          <w:p>
            <w:r/>
            <w:r>
              <w:rPr>
                <w:rFonts w:ascii="Times New Roman" w:hAnsi="Times New Roman"/>
                <w:b w:val="0"/>
                <w:sz w:val="16"/>
              </w:rPr>
              <w:t>0.8449</w:t>
            </w:r>
          </w:p>
        </w:tc>
        <w:tc>
          <w:tcPr>
            <w:tcW w:type="dxa" w:w="2556"/>
            <w:vAlign w:val="center"/>
          </w:tcPr>
          <w:p>
            <w:r/>
            <w:r>
              <w:rPr>
                <w:rFonts w:ascii="Times New Roman" w:hAnsi="Times New Roman"/>
                <w:b w:val="0"/>
                <w:sz w:val="16"/>
              </w:rPr>
              <w:t>0.7624</w:t>
            </w:r>
          </w:p>
        </w:tc>
      </w:tr>
      <w:tr>
        <w:tc>
          <w:tcPr>
            <w:tcW w:type="dxa" w:w="2556"/>
            <w:vAlign w:val="center"/>
          </w:tcPr>
          <w:p>
            <w:r/>
            <w:r>
              <w:rPr>
                <w:rFonts w:ascii="Times New Roman" w:hAnsi="Times New Roman"/>
                <w:b w:val="0"/>
                <w:sz w:val="16"/>
              </w:rPr>
              <w:t>BTXRD</w:t>
            </w:r>
          </w:p>
        </w:tc>
        <w:tc>
          <w:tcPr>
            <w:tcW w:type="dxa" w:w="2556"/>
            <w:vAlign w:val="center"/>
          </w:tcPr>
          <w:p>
            <w:r/>
            <w:r>
              <w:rPr>
                <w:rFonts w:ascii="Times New Roman" w:hAnsi="Times New Roman"/>
                <w:b w:val="0"/>
                <w:sz w:val="16"/>
              </w:rPr>
              <w:t>Off-center</w:t>
            </w:r>
          </w:p>
        </w:tc>
        <w:tc>
          <w:tcPr>
            <w:tcW w:type="dxa" w:w="2556"/>
            <w:vAlign w:val="center"/>
          </w:tcPr>
          <w:p>
            <w:r/>
            <w:r>
              <w:rPr>
                <w:rFonts w:ascii="Times New Roman" w:hAnsi="Times New Roman"/>
                <w:b w:val="0"/>
                <w:sz w:val="16"/>
              </w:rPr>
              <w:t>0.8111</w:t>
            </w:r>
          </w:p>
        </w:tc>
        <w:tc>
          <w:tcPr>
            <w:tcW w:type="dxa" w:w="2556"/>
            <w:vAlign w:val="center"/>
          </w:tcPr>
          <w:p>
            <w:r/>
            <w:r>
              <w:rPr>
                <w:rFonts w:ascii="Times New Roman" w:hAnsi="Times New Roman"/>
                <w:b w:val="0"/>
                <w:sz w:val="16"/>
              </w:rPr>
              <w:t>0.7542</w:t>
            </w:r>
          </w:p>
        </w:tc>
      </w:tr>
      <w:tr>
        <w:tc>
          <w:tcPr>
            <w:tcW w:type="dxa" w:w="2556"/>
            <w:vAlign w:val="center"/>
          </w:tcPr>
          <w:p>
            <w:r/>
            <w:r>
              <w:rPr>
                <w:rFonts w:ascii="Times New Roman" w:hAnsi="Times New Roman"/>
                <w:b w:val="0"/>
                <w:sz w:val="16"/>
              </w:rPr>
              <w:t>FracAtlas</w:t>
            </w:r>
          </w:p>
        </w:tc>
        <w:tc>
          <w:tcPr>
            <w:tcW w:type="dxa" w:w="2556"/>
            <w:vAlign w:val="center"/>
          </w:tcPr>
          <w:p>
            <w:r/>
            <w:r>
              <w:rPr>
                <w:rFonts w:ascii="Times New Roman" w:hAnsi="Times New Roman"/>
                <w:b w:val="0"/>
                <w:sz w:val="16"/>
              </w:rPr>
              <w:t>Covering</w:t>
            </w:r>
          </w:p>
        </w:tc>
        <w:tc>
          <w:tcPr>
            <w:tcW w:type="dxa" w:w="2556"/>
            <w:vAlign w:val="center"/>
          </w:tcPr>
          <w:p>
            <w:r/>
            <w:r>
              <w:rPr>
                <w:rFonts w:ascii="Times New Roman" w:hAnsi="Times New Roman"/>
                <w:b w:val="0"/>
                <w:sz w:val="16"/>
              </w:rPr>
              <w:t>0.7974</w:t>
            </w:r>
          </w:p>
        </w:tc>
        <w:tc>
          <w:tcPr>
            <w:tcW w:type="dxa" w:w="2556"/>
            <w:vAlign w:val="center"/>
          </w:tcPr>
          <w:p>
            <w:r/>
            <w:r>
              <w:rPr>
                <w:rFonts w:ascii="Times New Roman" w:hAnsi="Times New Roman"/>
                <w:b w:val="0"/>
                <w:sz w:val="16"/>
              </w:rPr>
              <w:t>0.7439</w:t>
            </w:r>
          </w:p>
        </w:tc>
      </w:tr>
      <w:tr>
        <w:tc>
          <w:tcPr>
            <w:tcW w:type="dxa" w:w="2556"/>
            <w:vAlign w:val="center"/>
          </w:tcPr>
          <w:p>
            <w:r/>
            <w:r>
              <w:rPr>
                <w:rFonts w:ascii="Times New Roman" w:hAnsi="Times New Roman"/>
                <w:b w:val="0"/>
                <w:sz w:val="16"/>
              </w:rPr>
              <w:t>FracAtlas</w:t>
            </w:r>
          </w:p>
        </w:tc>
        <w:tc>
          <w:tcPr>
            <w:tcW w:type="dxa" w:w="2556"/>
            <w:vAlign w:val="center"/>
          </w:tcPr>
          <w:p>
            <w:r/>
            <w:r>
              <w:rPr>
                <w:rFonts w:ascii="Times New Roman" w:hAnsi="Times New Roman"/>
                <w:b w:val="0"/>
                <w:sz w:val="16"/>
              </w:rPr>
              <w:t>Off-center</w:t>
            </w:r>
          </w:p>
        </w:tc>
        <w:tc>
          <w:tcPr>
            <w:tcW w:type="dxa" w:w="2556"/>
            <w:vAlign w:val="center"/>
          </w:tcPr>
          <w:p>
            <w:r/>
            <w:r>
              <w:rPr>
                <w:rFonts w:ascii="Times New Roman" w:hAnsi="Times New Roman"/>
                <w:b w:val="0"/>
                <w:sz w:val="16"/>
              </w:rPr>
              <w:t>0.7619</w:t>
            </w:r>
          </w:p>
        </w:tc>
        <w:tc>
          <w:tcPr>
            <w:tcW w:type="dxa" w:w="2556"/>
            <w:vAlign w:val="center"/>
          </w:tcPr>
          <w:p>
            <w:r/>
            <w:r>
              <w:rPr>
                <w:rFonts w:ascii="Times New Roman" w:hAnsi="Times New Roman"/>
                <w:b w:val="0"/>
                <w:sz w:val="16"/>
              </w:rPr>
              <w:t>0.7275</w:t>
            </w:r>
          </w:p>
        </w:tc>
      </w:tr>
    </w:tbl>
    <w:p>
      <w:pPr>
        <w:spacing w:after="20"/>
      </w:pPr>
    </w:p>
    <w:p>
      <w:pPr>
        <w:spacing w:after="80" w:line="240" w:lineRule="auto"/>
        <w:ind w:firstLine="259"/>
        <w:jc w:val="both"/>
      </w:pPr>
      <w:r>
        <w:rPr>
          <w:rFonts w:ascii="Times New Roman" w:hAnsi="Times New Roman"/>
          <w:b w:val="0"/>
          <w:i w:val="0"/>
          <w:color w:val="FF0000"/>
          <w:sz w:val="20"/>
        </w:rPr>
        <w:t>Under matched box-prompt conditions at 256×256, PGA-UNet achieves higher absolute Dice than fine-tuned SAM-Med2D in all four dataset/prompt settings. However, the degradation from covering to off-center prompts is larger for PGA-UNet (0.0338 on BTXRD and 0.0355 on FracAtlas) than for SAM-Med2D (0.0082 and 0.0164). The results therefore support higher accuracy under the tested off-center prompts, but they do not support a claim that PGA-UNet is relatively more invariant to prompt shift than SAM-Med2D.</w:t>
      </w:r>
    </w:p>
    <w:p>
      <w:pPr>
        <w:spacing w:before="160" w:after="80"/>
      </w:pPr>
      <w:r>
        <w:rPr>
          <w:rFonts w:ascii="Arial" w:hAnsi="Arial"/>
          <w:b/>
          <w:sz w:val="20"/>
        </w:rPr>
        <w:t>F. Performance on Small-Lesion Images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F7"/>
          </w:tcPr>
          <w:p>
            <w:r/>
            <w:r>
              <w:rPr>
                <w:rFonts w:ascii="Times New Roman" w:hAnsi="Times New Roman"/>
                <w:b/>
                <w:sz w:val="16"/>
              </w:rPr>
              <w:t>Dataset</w:t>
            </w:r>
          </w:p>
        </w:tc>
        <w:tc>
          <w:tcPr>
            <w:tcW w:type="dxa" w:w="2045"/>
            <w:vAlign w:val="center"/>
            <w:shd w:fill="D9EAF7"/>
          </w:tcPr>
          <w:p>
            <w:r/>
            <w:r>
              <w:rPr>
                <w:rFonts w:ascii="Times New Roman" w:hAnsi="Times New Roman"/>
                <w:b/>
                <w:sz w:val="16"/>
              </w:rPr>
              <w:t>Model</w:t>
            </w:r>
          </w:p>
        </w:tc>
        <w:tc>
          <w:tcPr>
            <w:tcW w:type="dxa" w:w="2045"/>
            <w:vAlign w:val="center"/>
            <w:shd w:fill="D9EAF7"/>
          </w:tcPr>
          <w:p>
            <w:r/>
            <w:r>
              <w:rPr>
                <w:rFonts w:ascii="Times New Roman" w:hAnsi="Times New Roman"/>
                <w:b/>
                <w:sz w:val="16"/>
              </w:rPr>
              <w:t>Dice</w:t>
            </w:r>
          </w:p>
        </w:tc>
        <w:tc>
          <w:tcPr>
            <w:tcW w:type="dxa" w:w="2045"/>
            <w:vAlign w:val="center"/>
            <w:shd w:fill="D9EAF7"/>
          </w:tcPr>
          <w:p>
            <w:r/>
            <w:r>
              <w:rPr>
                <w:rFonts w:ascii="Times New Roman" w:hAnsi="Times New Roman"/>
                <w:b/>
                <w:sz w:val="16"/>
              </w:rPr>
              <w:t>CBL</w:t>
            </w:r>
          </w:p>
        </w:tc>
        <w:tc>
          <w:tcPr>
            <w:tcW w:type="dxa" w:w="2045"/>
            <w:vAlign w:val="center"/>
            <w:shd w:fill="D9EAF7"/>
          </w:tcPr>
          <w:p>
            <w:r/>
            <w:r>
              <w:rPr>
                <w:rFonts w:ascii="Times New Roman" w:hAnsi="Times New Roman"/>
                <w:b/>
                <w:sz w:val="16"/>
              </w:rPr>
              <w:t>HD95</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SAM-Med2D-FT 256×256</w:t>
            </w:r>
          </w:p>
        </w:tc>
        <w:tc>
          <w:tcPr>
            <w:tcW w:type="dxa" w:w="2045"/>
            <w:vAlign w:val="center"/>
          </w:tcPr>
          <w:p>
            <w:r/>
            <w:r>
              <w:rPr>
                <w:rFonts w:ascii="Times New Roman" w:hAnsi="Times New Roman"/>
                <w:b w:val="0"/>
                <w:sz w:val="16"/>
              </w:rPr>
              <w:t>0.1903</w:t>
            </w:r>
          </w:p>
        </w:tc>
        <w:tc>
          <w:tcPr>
            <w:tcW w:type="dxa" w:w="2045"/>
            <w:vAlign w:val="center"/>
          </w:tcPr>
          <w:p>
            <w:r/>
            <w:r>
              <w:rPr>
                <w:rFonts w:ascii="Times New Roman" w:hAnsi="Times New Roman"/>
                <w:b w:val="0"/>
                <w:sz w:val="16"/>
              </w:rPr>
              <w:t>0.4489</w:t>
            </w:r>
          </w:p>
        </w:tc>
        <w:tc>
          <w:tcPr>
            <w:tcW w:type="dxa" w:w="2045"/>
            <w:vAlign w:val="center"/>
          </w:tcPr>
          <w:p>
            <w:r/>
            <w:r>
              <w:rPr>
                <w:rFonts w:ascii="Times New Roman" w:hAnsi="Times New Roman"/>
                <w:b w:val="0"/>
                <w:sz w:val="16"/>
              </w:rPr>
              <w:t>240.72</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PGA-UNet 256×256</w:t>
            </w:r>
          </w:p>
        </w:tc>
        <w:tc>
          <w:tcPr>
            <w:tcW w:type="dxa" w:w="2045"/>
            <w:vAlign w:val="center"/>
          </w:tcPr>
          <w:p>
            <w:r/>
            <w:r>
              <w:rPr>
                <w:rFonts w:ascii="Times New Roman" w:hAnsi="Times New Roman"/>
                <w:b w:val="0"/>
                <w:sz w:val="16"/>
              </w:rPr>
              <w:t>0.7650</w:t>
            </w:r>
          </w:p>
        </w:tc>
        <w:tc>
          <w:tcPr>
            <w:tcW w:type="dxa" w:w="2045"/>
            <w:vAlign w:val="center"/>
          </w:tcPr>
          <w:p>
            <w:r/>
            <w:r>
              <w:rPr>
                <w:rFonts w:ascii="Times New Roman" w:hAnsi="Times New Roman"/>
                <w:b w:val="0"/>
                <w:sz w:val="16"/>
              </w:rPr>
              <w:t>0.9261</w:t>
            </w:r>
          </w:p>
        </w:tc>
        <w:tc>
          <w:tcPr>
            <w:tcW w:type="dxa" w:w="2045"/>
            <w:vAlign w:val="center"/>
          </w:tcPr>
          <w:p>
            <w:r/>
            <w:r>
              <w:rPr>
                <w:rFonts w:ascii="Times New Roman" w:hAnsi="Times New Roman"/>
                <w:b w:val="0"/>
                <w:sz w:val="16"/>
              </w:rPr>
              <w:t>3.11</w:t>
            </w:r>
          </w:p>
        </w:tc>
      </w:tr>
      <w:tr>
        <w:tc>
          <w:tcPr>
            <w:tcW w:type="dxa" w:w="2045"/>
            <w:vAlign w:val="center"/>
          </w:tcPr>
          <w:p>
            <w:r/>
            <w:r>
              <w:rPr>
                <w:rFonts w:ascii="Times New Roman" w:hAnsi="Times New Roman"/>
                <w:b w:val="0"/>
                <w:sz w:val="16"/>
              </w:rPr>
              <w:t>BTXRD</w:t>
            </w:r>
          </w:p>
        </w:tc>
        <w:tc>
          <w:tcPr>
            <w:tcW w:type="dxa" w:w="2045"/>
            <w:vAlign w:val="center"/>
          </w:tcPr>
          <w:p>
            <w:r/>
            <w:r>
              <w:rPr>
                <w:rFonts w:ascii="Times New Roman" w:hAnsi="Times New Roman"/>
                <w:b w:val="0"/>
                <w:sz w:val="16"/>
              </w:rPr>
              <w:t>PGA-UNet 512×512</w:t>
            </w:r>
          </w:p>
        </w:tc>
        <w:tc>
          <w:tcPr>
            <w:tcW w:type="dxa" w:w="2045"/>
            <w:vAlign w:val="center"/>
          </w:tcPr>
          <w:p>
            <w:r/>
            <w:r>
              <w:rPr>
                <w:rFonts w:ascii="Times New Roman" w:hAnsi="Times New Roman"/>
                <w:b w:val="0"/>
                <w:sz w:val="16"/>
              </w:rPr>
              <w:t>0.8483</w:t>
            </w:r>
          </w:p>
        </w:tc>
        <w:tc>
          <w:tcPr>
            <w:tcW w:type="dxa" w:w="2045"/>
            <w:vAlign w:val="center"/>
          </w:tcPr>
          <w:p>
            <w:r/>
            <w:r>
              <w:rPr>
                <w:rFonts w:ascii="Times New Roman" w:hAnsi="Times New Roman"/>
                <w:b w:val="0"/>
                <w:sz w:val="16"/>
              </w:rPr>
              <w:t>0.9451</w:t>
            </w:r>
          </w:p>
        </w:tc>
        <w:tc>
          <w:tcPr>
            <w:tcW w:type="dxa" w:w="2045"/>
            <w:vAlign w:val="center"/>
          </w:tcPr>
          <w:p>
            <w:r/>
            <w:r>
              <w:rPr>
                <w:rFonts w:ascii="Times New Roman" w:hAnsi="Times New Roman"/>
                <w:b w:val="0"/>
                <w:sz w:val="16"/>
              </w:rPr>
              <w:t>2.32</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SAM-Med2D-FT 256×256</w:t>
            </w:r>
          </w:p>
        </w:tc>
        <w:tc>
          <w:tcPr>
            <w:tcW w:type="dxa" w:w="2045"/>
            <w:vAlign w:val="center"/>
          </w:tcPr>
          <w:p>
            <w:r/>
            <w:r>
              <w:rPr>
                <w:rFonts w:ascii="Times New Roman" w:hAnsi="Times New Roman"/>
                <w:b w:val="0"/>
                <w:sz w:val="16"/>
              </w:rPr>
              <w:t>0.3736</w:t>
            </w:r>
          </w:p>
        </w:tc>
        <w:tc>
          <w:tcPr>
            <w:tcW w:type="dxa" w:w="2045"/>
            <w:vAlign w:val="center"/>
          </w:tcPr>
          <w:p>
            <w:r/>
            <w:r>
              <w:rPr>
                <w:rFonts w:ascii="Times New Roman" w:hAnsi="Times New Roman"/>
                <w:b w:val="0"/>
                <w:sz w:val="16"/>
              </w:rPr>
              <w:t>0.7116</w:t>
            </w:r>
          </w:p>
        </w:tc>
        <w:tc>
          <w:tcPr>
            <w:tcW w:type="dxa" w:w="2045"/>
            <w:vAlign w:val="center"/>
          </w:tcPr>
          <w:p>
            <w:r/>
            <w:r>
              <w:rPr>
                <w:rFonts w:ascii="Times New Roman" w:hAnsi="Times New Roman"/>
                <w:b w:val="0"/>
                <w:sz w:val="16"/>
              </w:rPr>
              <w:t>105.19</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PGA-UNet 256×256</w:t>
            </w:r>
          </w:p>
        </w:tc>
        <w:tc>
          <w:tcPr>
            <w:tcW w:type="dxa" w:w="2045"/>
            <w:vAlign w:val="center"/>
          </w:tcPr>
          <w:p>
            <w:r/>
            <w:r>
              <w:rPr>
                <w:rFonts w:ascii="Times New Roman" w:hAnsi="Times New Roman"/>
                <w:b w:val="0"/>
                <w:sz w:val="16"/>
              </w:rPr>
              <w:t>0.7973</w:t>
            </w:r>
          </w:p>
        </w:tc>
        <w:tc>
          <w:tcPr>
            <w:tcW w:type="dxa" w:w="2045"/>
            <w:vAlign w:val="center"/>
          </w:tcPr>
          <w:p>
            <w:r/>
            <w:r>
              <w:rPr>
                <w:rFonts w:ascii="Times New Roman" w:hAnsi="Times New Roman"/>
                <w:b w:val="0"/>
                <w:sz w:val="16"/>
              </w:rPr>
              <w:t>0.9569</w:t>
            </w:r>
          </w:p>
        </w:tc>
        <w:tc>
          <w:tcPr>
            <w:tcW w:type="dxa" w:w="2045"/>
            <w:vAlign w:val="center"/>
          </w:tcPr>
          <w:p>
            <w:r/>
            <w:r>
              <w:rPr>
                <w:rFonts w:ascii="Times New Roman" w:hAnsi="Times New Roman"/>
                <w:b w:val="0"/>
                <w:sz w:val="16"/>
              </w:rPr>
              <w:t>5.62</w:t>
            </w:r>
          </w:p>
        </w:tc>
      </w:tr>
      <w:tr>
        <w:tc>
          <w:tcPr>
            <w:tcW w:type="dxa" w:w="2045"/>
            <w:vAlign w:val="center"/>
          </w:tcPr>
          <w:p>
            <w:r/>
            <w:r>
              <w:rPr>
                <w:rFonts w:ascii="Times New Roman" w:hAnsi="Times New Roman"/>
                <w:b w:val="0"/>
                <w:sz w:val="16"/>
              </w:rPr>
              <w:t>FracAtlas</w:t>
            </w:r>
          </w:p>
        </w:tc>
        <w:tc>
          <w:tcPr>
            <w:tcW w:type="dxa" w:w="2045"/>
            <w:vAlign w:val="center"/>
          </w:tcPr>
          <w:p>
            <w:r/>
            <w:r>
              <w:rPr>
                <w:rFonts w:ascii="Times New Roman" w:hAnsi="Times New Roman"/>
                <w:b w:val="0"/>
                <w:sz w:val="16"/>
              </w:rPr>
              <w:t>PGA-UNet 512×512</w:t>
            </w:r>
          </w:p>
        </w:tc>
        <w:tc>
          <w:tcPr>
            <w:tcW w:type="dxa" w:w="2045"/>
            <w:vAlign w:val="center"/>
          </w:tcPr>
          <w:p>
            <w:r/>
            <w:r>
              <w:rPr>
                <w:rFonts w:ascii="Times New Roman" w:hAnsi="Times New Roman"/>
                <w:b w:val="0"/>
                <w:sz w:val="16"/>
              </w:rPr>
              <w:t>0.8348</w:t>
            </w:r>
          </w:p>
        </w:tc>
        <w:tc>
          <w:tcPr>
            <w:tcW w:type="dxa" w:w="2045"/>
            <w:vAlign w:val="center"/>
          </w:tcPr>
          <w:p>
            <w:r/>
            <w:r>
              <w:rPr>
                <w:rFonts w:ascii="Times New Roman" w:hAnsi="Times New Roman"/>
                <w:b w:val="0"/>
                <w:sz w:val="16"/>
              </w:rPr>
              <w:t>0.9609</w:t>
            </w:r>
          </w:p>
        </w:tc>
        <w:tc>
          <w:tcPr>
            <w:tcW w:type="dxa" w:w="2045"/>
            <w:vAlign w:val="center"/>
          </w:tcPr>
          <w:p>
            <w:r/>
            <w:r>
              <w:rPr>
                <w:rFonts w:ascii="Times New Roman" w:hAnsi="Times New Roman"/>
                <w:b w:val="0"/>
                <w:sz w:val="16"/>
              </w:rPr>
              <w:t>4.83</w:t>
            </w:r>
          </w:p>
        </w:tc>
      </w:tr>
    </w:tbl>
    <w:p>
      <w:pPr>
        <w:spacing w:after="20"/>
      </w:pPr>
    </w:p>
    <w:p>
      <w:pPr>
        <w:spacing w:after="80" w:line="240" w:lineRule="auto"/>
        <w:ind w:firstLine="259"/>
        <w:jc w:val="both"/>
      </w:pPr>
      <w:r>
        <w:rPr>
          <w:rFonts w:ascii="Times New Roman" w:hAnsi="Times New Roman"/>
          <w:b w:val="0"/>
          <w:i w:val="0"/>
          <w:color w:val="FF0000"/>
          <w:sz w:val="20"/>
        </w:rPr>
        <w:t>For each dataset, this subset contains the 50 test images with the smallest total lesion area, not necessarily the 50 smallest individual lesions. At the matched 256×256 resolution, PGA-UNet substantially exceeds fine-tuned SAM-Med2D in Dice and CBL, and higher-resolution PGA-UNet improves the result further. These data are the strongest evidence in the current manuscript for the practical value of the proposed conditioning strategy on small targets, but they remain conditioned on ground-truth-derived covering boxes.</w:t>
      </w:r>
    </w:p>
    <w:p>
      <w:pPr>
        <w:jc w:val="center"/>
      </w:pPr>
      <w:r>
        <w:drawing>
          <wp:inline xmlns:a="http://schemas.openxmlformats.org/drawingml/2006/main" xmlns:pic="http://schemas.openxmlformats.org/drawingml/2006/picture">
            <wp:extent cx="5303520" cy="3480253"/>
            <wp:docPr id="4" name="Picture 4"/>
            <wp:cNvGraphicFramePr>
              <a:graphicFrameLocks noChangeAspect="1"/>
            </wp:cNvGraphicFramePr>
            <a:graphic>
              <a:graphicData uri="http://schemas.openxmlformats.org/drawingml/2006/picture">
                <pic:pic>
                  <pic:nvPicPr>
                    <pic:cNvPr id="0" name="p8_img2.png"/>
                    <pic:cNvPicPr/>
                  </pic:nvPicPr>
                  <pic:blipFill>
                    <a:blip r:embed="rId14"/>
                    <a:stretch>
                      <a:fillRect/>
                    </a:stretch>
                  </pic:blipFill>
                  <pic:spPr>
                    <a:xfrm>
                      <a:off x="0" y="0"/>
                      <a:ext cx="5303520" cy="3480253"/>
                    </a:xfrm>
                    <a:prstGeom prst="rect"/>
                  </pic:spPr>
                </pic:pic>
              </a:graphicData>
            </a:graphic>
          </wp:inline>
        </w:drawing>
      </w:r>
    </w:p>
    <w:p>
      <w:pPr>
        <w:spacing w:after="120"/>
        <w:jc w:val="center"/>
      </w:pPr>
      <w:r>
        <w:rPr>
          <w:rFonts w:ascii="Times New Roman" w:hAnsi="Times New Roman"/>
          <w:b/>
          <w:sz w:val="16"/>
        </w:rPr>
        <w:t>FIGURE 4. Qualitative comparison on a small-lesion BTXRD case. Fine-tuned SAM-Med2D and PGA-UNet are evaluated from the same box prompt.</w:t>
      </w:r>
    </w:p>
    <w:p>
      <w:pPr>
        <w:spacing w:before="160" w:after="80"/>
      </w:pPr>
      <w:r>
        <w:rPr>
          <w:rFonts w:ascii="Arial" w:hAnsi="Arial"/>
          <w:b/>
          <w:sz w:val="20"/>
        </w:rPr>
        <w:t>G. Efficiency Analysis</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EAF7"/>
          </w:tcPr>
          <w:p>
            <w:r/>
            <w:r>
              <w:rPr>
                <w:rFonts w:ascii="Times New Roman" w:hAnsi="Times New Roman"/>
                <w:b/>
                <w:sz w:val="16"/>
              </w:rPr>
              <w:t>Model</w:t>
            </w:r>
          </w:p>
        </w:tc>
        <w:tc>
          <w:tcPr>
            <w:tcW w:type="dxa" w:w="1704"/>
            <w:vAlign w:val="center"/>
            <w:shd w:fill="D9EAF7"/>
          </w:tcPr>
          <w:p>
            <w:r/>
            <w:r>
              <w:rPr>
                <w:rFonts w:ascii="Times New Roman" w:hAnsi="Times New Roman"/>
                <w:b/>
                <w:sz w:val="16"/>
              </w:rPr>
              <w:t>Params</w:t>
            </w:r>
          </w:p>
        </w:tc>
        <w:tc>
          <w:tcPr>
            <w:tcW w:type="dxa" w:w="1704"/>
            <w:vAlign w:val="center"/>
            <w:shd w:fill="D9EAF7"/>
          </w:tcPr>
          <w:p>
            <w:r/>
            <w:r>
              <w:rPr>
                <w:rFonts w:ascii="Times New Roman" w:hAnsi="Times New Roman"/>
                <w:b/>
                <w:sz w:val="16"/>
              </w:rPr>
              <w:t>GFLOPs</w:t>
            </w:r>
          </w:p>
        </w:tc>
        <w:tc>
          <w:tcPr>
            <w:tcW w:type="dxa" w:w="1704"/>
            <w:vAlign w:val="center"/>
            <w:shd w:fill="D9EAF7"/>
          </w:tcPr>
          <w:p>
            <w:r/>
            <w:r>
              <w:rPr>
                <w:rFonts w:ascii="Times New Roman" w:hAnsi="Times New Roman"/>
                <w:b/>
                <w:sz w:val="16"/>
              </w:rPr>
              <w:t>Size</w:t>
            </w:r>
          </w:p>
        </w:tc>
        <w:tc>
          <w:tcPr>
            <w:tcW w:type="dxa" w:w="1704"/>
            <w:vAlign w:val="center"/>
            <w:shd w:fill="D9EAF7"/>
          </w:tcPr>
          <w:p>
            <w:r/>
            <w:r>
              <w:rPr>
                <w:rFonts w:ascii="Times New Roman" w:hAnsi="Times New Roman"/>
                <w:b/>
                <w:sz w:val="16"/>
              </w:rPr>
              <w:t>GPU ms</w:t>
            </w:r>
          </w:p>
        </w:tc>
        <w:tc>
          <w:tcPr>
            <w:tcW w:type="dxa" w:w="1704"/>
            <w:vAlign w:val="center"/>
            <w:shd w:fill="D9EAF7"/>
          </w:tcPr>
          <w:p>
            <w:r/>
            <w:r>
              <w:rPr>
                <w:rFonts w:ascii="Times New Roman" w:hAnsi="Times New Roman"/>
                <w:b/>
                <w:sz w:val="16"/>
              </w:rPr>
              <w:t>CPU ms</w:t>
            </w:r>
          </w:p>
        </w:tc>
      </w:tr>
      <w:tr>
        <w:tc>
          <w:tcPr>
            <w:tcW w:type="dxa" w:w="1704"/>
            <w:vAlign w:val="center"/>
          </w:tcPr>
          <w:p>
            <w:r/>
            <w:r>
              <w:rPr>
                <w:rFonts w:ascii="Times New Roman" w:hAnsi="Times New Roman"/>
                <w:b w:val="0"/>
                <w:sz w:val="16"/>
              </w:rPr>
              <w:t>PGA-UNet 256</w:t>
            </w:r>
          </w:p>
        </w:tc>
        <w:tc>
          <w:tcPr>
            <w:tcW w:type="dxa" w:w="1704"/>
            <w:vAlign w:val="center"/>
          </w:tcPr>
          <w:p>
            <w:r/>
            <w:r>
              <w:rPr>
                <w:rFonts w:ascii="Times New Roman" w:hAnsi="Times New Roman"/>
                <w:b w:val="0"/>
                <w:sz w:val="16"/>
              </w:rPr>
              <w:t>2.95M</w:t>
            </w:r>
          </w:p>
        </w:tc>
        <w:tc>
          <w:tcPr>
            <w:tcW w:type="dxa" w:w="1704"/>
            <w:vAlign w:val="center"/>
          </w:tcPr>
          <w:p>
            <w:r/>
            <w:r>
              <w:rPr>
                <w:rFonts w:ascii="Times New Roman" w:hAnsi="Times New Roman"/>
                <w:b w:val="0"/>
                <w:sz w:val="16"/>
              </w:rPr>
              <w:t>7.74</w:t>
            </w:r>
          </w:p>
        </w:tc>
        <w:tc>
          <w:tcPr>
            <w:tcW w:type="dxa" w:w="1704"/>
            <w:vAlign w:val="center"/>
          </w:tcPr>
          <w:p>
            <w:r/>
            <w:r>
              <w:rPr>
                <w:rFonts w:ascii="Times New Roman" w:hAnsi="Times New Roman"/>
                <w:b w:val="0"/>
                <w:sz w:val="16"/>
              </w:rPr>
              <w:t>11.35 MB</w:t>
            </w:r>
          </w:p>
        </w:tc>
        <w:tc>
          <w:tcPr>
            <w:tcW w:type="dxa" w:w="1704"/>
            <w:vAlign w:val="center"/>
          </w:tcPr>
          <w:p>
            <w:r/>
            <w:r>
              <w:rPr>
                <w:rFonts w:ascii="Times New Roman" w:hAnsi="Times New Roman"/>
                <w:b w:val="0"/>
                <w:sz w:val="16"/>
              </w:rPr>
              <w:t>8.17</w:t>
            </w:r>
          </w:p>
        </w:tc>
        <w:tc>
          <w:tcPr>
            <w:tcW w:type="dxa" w:w="1704"/>
            <w:vAlign w:val="center"/>
          </w:tcPr>
          <w:p>
            <w:r/>
            <w:r>
              <w:rPr>
                <w:rFonts w:ascii="Times New Roman" w:hAnsi="Times New Roman"/>
                <w:b w:val="0"/>
                <w:sz w:val="16"/>
              </w:rPr>
              <w:t>109.17</w:t>
            </w:r>
          </w:p>
        </w:tc>
      </w:tr>
      <w:tr>
        <w:tc>
          <w:tcPr>
            <w:tcW w:type="dxa" w:w="1704"/>
            <w:vAlign w:val="center"/>
          </w:tcPr>
          <w:p>
            <w:r/>
            <w:r>
              <w:rPr>
                <w:rFonts w:ascii="Times New Roman" w:hAnsi="Times New Roman"/>
                <w:b w:val="0"/>
                <w:sz w:val="16"/>
              </w:rPr>
              <w:t>PGA-UNet 512</w:t>
            </w:r>
          </w:p>
        </w:tc>
        <w:tc>
          <w:tcPr>
            <w:tcW w:type="dxa" w:w="1704"/>
            <w:vAlign w:val="center"/>
          </w:tcPr>
          <w:p>
            <w:r/>
            <w:r>
              <w:rPr>
                <w:rFonts w:ascii="Times New Roman" w:hAnsi="Times New Roman"/>
                <w:b w:val="0"/>
                <w:sz w:val="16"/>
              </w:rPr>
              <w:t>2.95M</w:t>
            </w:r>
          </w:p>
        </w:tc>
        <w:tc>
          <w:tcPr>
            <w:tcW w:type="dxa" w:w="1704"/>
            <w:vAlign w:val="center"/>
          </w:tcPr>
          <w:p>
            <w:r/>
            <w:r>
              <w:rPr>
                <w:rFonts w:ascii="Times New Roman" w:hAnsi="Times New Roman"/>
                <w:b w:val="0"/>
                <w:sz w:val="16"/>
              </w:rPr>
              <w:t>30.97</w:t>
            </w:r>
          </w:p>
        </w:tc>
        <w:tc>
          <w:tcPr>
            <w:tcW w:type="dxa" w:w="1704"/>
            <w:vAlign w:val="center"/>
          </w:tcPr>
          <w:p>
            <w:r/>
            <w:r>
              <w:rPr>
                <w:rFonts w:ascii="Times New Roman" w:hAnsi="Times New Roman"/>
                <w:b w:val="0"/>
                <w:sz w:val="16"/>
              </w:rPr>
              <w:t>11.35 MB</w:t>
            </w:r>
          </w:p>
        </w:tc>
        <w:tc>
          <w:tcPr>
            <w:tcW w:type="dxa" w:w="1704"/>
            <w:vAlign w:val="center"/>
          </w:tcPr>
          <w:p>
            <w:r/>
            <w:r>
              <w:rPr>
                <w:rFonts w:ascii="Times New Roman" w:hAnsi="Times New Roman"/>
                <w:b w:val="0"/>
                <w:sz w:val="16"/>
              </w:rPr>
              <w:t>18.28</w:t>
            </w:r>
          </w:p>
        </w:tc>
        <w:tc>
          <w:tcPr>
            <w:tcW w:type="dxa" w:w="1704"/>
            <w:vAlign w:val="center"/>
          </w:tcPr>
          <w:p>
            <w:r/>
            <w:r>
              <w:rPr>
                <w:rFonts w:ascii="Times New Roman" w:hAnsi="Times New Roman"/>
                <w:b w:val="0"/>
                <w:sz w:val="16"/>
              </w:rPr>
              <w:t>336.74</w:t>
            </w:r>
          </w:p>
        </w:tc>
      </w:tr>
      <w:tr>
        <w:tc>
          <w:tcPr>
            <w:tcW w:type="dxa" w:w="1704"/>
            <w:vAlign w:val="center"/>
          </w:tcPr>
          <w:p>
            <w:r/>
            <w:r>
              <w:rPr>
                <w:rFonts w:ascii="Times New Roman" w:hAnsi="Times New Roman"/>
                <w:b w:val="0"/>
                <w:sz w:val="16"/>
              </w:rPr>
              <w:t>SAM-Med2D 256</w:t>
            </w:r>
          </w:p>
        </w:tc>
        <w:tc>
          <w:tcPr>
            <w:tcW w:type="dxa" w:w="1704"/>
            <w:vAlign w:val="center"/>
          </w:tcPr>
          <w:p>
            <w:r/>
            <w:r>
              <w:rPr>
                <w:rFonts w:ascii="Times New Roman" w:hAnsi="Times New Roman"/>
                <w:b w:val="0"/>
                <w:sz w:val="16"/>
              </w:rPr>
              <w:t>271.24M</w:t>
            </w:r>
          </w:p>
        </w:tc>
        <w:tc>
          <w:tcPr>
            <w:tcW w:type="dxa" w:w="1704"/>
            <w:vAlign w:val="center"/>
          </w:tcPr>
          <w:p>
            <w:r/>
            <w:r>
              <w:rPr>
                <w:rFonts w:ascii="Times New Roman" w:hAnsi="Times New Roman"/>
                <w:b w:val="0"/>
                <w:sz w:val="16"/>
              </w:rPr>
              <w:t>92.02</w:t>
            </w:r>
          </w:p>
        </w:tc>
        <w:tc>
          <w:tcPr>
            <w:tcW w:type="dxa" w:w="1704"/>
            <w:vAlign w:val="center"/>
          </w:tcPr>
          <w:p>
            <w:r/>
            <w:r>
              <w:rPr>
                <w:rFonts w:ascii="Times New Roman" w:hAnsi="Times New Roman"/>
                <w:b w:val="0"/>
                <w:sz w:val="16"/>
              </w:rPr>
              <w:t>2443.16 MB</w:t>
            </w:r>
          </w:p>
        </w:tc>
        <w:tc>
          <w:tcPr>
            <w:tcW w:type="dxa" w:w="1704"/>
            <w:vAlign w:val="center"/>
          </w:tcPr>
          <w:p>
            <w:r/>
            <w:r>
              <w:rPr>
                <w:rFonts w:ascii="Times New Roman" w:hAnsi="Times New Roman"/>
                <w:b w:val="0"/>
                <w:sz w:val="16"/>
              </w:rPr>
              <w:t>48.75</w:t>
            </w:r>
          </w:p>
        </w:tc>
        <w:tc>
          <w:tcPr>
            <w:tcW w:type="dxa" w:w="1704"/>
            <w:vAlign w:val="center"/>
          </w:tcPr>
          <w:p>
            <w:r/>
            <w:r>
              <w:rPr>
                <w:rFonts w:ascii="Times New Roman" w:hAnsi="Times New Roman"/>
                <w:b w:val="0"/>
                <w:sz w:val="16"/>
              </w:rPr>
              <w:t>1263.77</w:t>
            </w:r>
          </w:p>
        </w:tc>
      </w:tr>
    </w:tbl>
    <w:p>
      <w:pPr>
        <w:spacing w:after="20"/>
      </w:pPr>
    </w:p>
    <w:p>
      <w:pPr>
        <w:spacing w:after="80" w:line="240" w:lineRule="auto"/>
        <w:ind w:firstLine="259"/>
        <w:jc w:val="both"/>
      </w:pPr>
      <w:r>
        <w:rPr>
          <w:rFonts w:ascii="Times New Roman" w:hAnsi="Times New Roman"/>
          <w:b w:val="0"/>
          <w:i w:val="0"/>
          <w:color w:val="FF0000"/>
          <w:sz w:val="20"/>
        </w:rPr>
        <w:t>In the tested environment, PGA-UNet provides a clear computational advantage over SAM-Med2D. The 256×256 model uses approximately 92× fewer parameters, 11.9× fewer FLOPs, and 6.0× lower GPU forward-pass latency. These measurements support the lightweight-computation claim, provided that the exact software versions, warm-up procedure, number of timed runs, synchronization policy, and CPU specification are reported for reproducibility.</w:t>
      </w:r>
    </w:p>
    <w:p>
      <w:pPr>
        <w:spacing w:before="160" w:after="80"/>
      </w:pPr>
      <w:r>
        <w:rPr>
          <w:rFonts w:ascii="Arial" w:hAnsi="Arial"/>
          <w:b/>
          <w:sz w:val="20"/>
        </w:rPr>
        <w:t>H. Ablation Study</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D9EAF7"/>
          </w:tcPr>
          <w:p>
            <w:r/>
            <w:r>
              <w:rPr>
                <w:rFonts w:ascii="Times New Roman" w:hAnsi="Times New Roman"/>
                <w:b/>
                <w:sz w:val="14"/>
              </w:rPr>
              <w:t>PSG</w:t>
            </w:r>
          </w:p>
        </w:tc>
        <w:tc>
          <w:tcPr>
            <w:tcW w:type="dxa" w:w="1461"/>
            <w:vAlign w:val="center"/>
            <w:shd w:fill="D9EAF7"/>
          </w:tcPr>
          <w:p>
            <w:r/>
            <w:r>
              <w:rPr>
                <w:rFonts w:ascii="Times New Roman" w:hAnsi="Times New Roman"/>
                <w:b/>
                <w:sz w:val="14"/>
              </w:rPr>
              <w:t>Decoder attention</w:t>
            </w:r>
          </w:p>
        </w:tc>
        <w:tc>
          <w:tcPr>
            <w:tcW w:type="dxa" w:w="1461"/>
            <w:vAlign w:val="center"/>
            <w:shd w:fill="D9EAF7"/>
          </w:tcPr>
          <w:p>
            <w:r/>
            <w:r>
              <w:rPr>
                <w:rFonts w:ascii="Times New Roman" w:hAnsi="Times New Roman"/>
                <w:b/>
                <w:sz w:val="14"/>
              </w:rPr>
              <w:t>Prompt</w:t>
            </w:r>
          </w:p>
        </w:tc>
        <w:tc>
          <w:tcPr>
            <w:tcW w:type="dxa" w:w="1461"/>
            <w:vAlign w:val="center"/>
            <w:shd w:fill="D9EAF7"/>
          </w:tcPr>
          <w:p>
            <w:r/>
            <w:r>
              <w:rPr>
                <w:rFonts w:ascii="Times New Roman" w:hAnsi="Times New Roman"/>
                <w:b/>
                <w:sz w:val="14"/>
              </w:rPr>
              <w:t>BTXRD Cover</w:t>
            </w:r>
          </w:p>
        </w:tc>
        <w:tc>
          <w:tcPr>
            <w:tcW w:type="dxa" w:w="1461"/>
            <w:vAlign w:val="center"/>
            <w:shd w:fill="D9EAF7"/>
          </w:tcPr>
          <w:p>
            <w:r/>
            <w:r>
              <w:rPr>
                <w:rFonts w:ascii="Times New Roman" w:hAnsi="Times New Roman"/>
                <w:b/>
                <w:sz w:val="14"/>
              </w:rPr>
              <w:t>BTXRD Off</w:t>
            </w:r>
          </w:p>
        </w:tc>
        <w:tc>
          <w:tcPr>
            <w:tcW w:type="dxa" w:w="1461"/>
            <w:vAlign w:val="center"/>
            <w:shd w:fill="D9EAF7"/>
          </w:tcPr>
          <w:p>
            <w:r/>
            <w:r>
              <w:rPr>
                <w:rFonts w:ascii="Times New Roman" w:hAnsi="Times New Roman"/>
                <w:b/>
                <w:sz w:val="14"/>
              </w:rPr>
              <w:t>FracAtlas Cover</w:t>
            </w:r>
          </w:p>
        </w:tc>
        <w:tc>
          <w:tcPr>
            <w:tcW w:type="dxa" w:w="1461"/>
            <w:vAlign w:val="center"/>
            <w:shd w:fill="D9EAF7"/>
          </w:tcPr>
          <w:p>
            <w:r/>
            <w:r>
              <w:rPr>
                <w:rFonts w:ascii="Times New Roman" w:hAnsi="Times New Roman"/>
                <w:b/>
                <w:sz w:val="14"/>
              </w:rPr>
              <w:t>FracAtlas Off</w:t>
            </w:r>
          </w:p>
        </w:tc>
      </w:tr>
      <w:tr>
        <w:tc>
          <w:tcPr>
            <w:tcW w:type="dxa" w:w="1461"/>
            <w:vAlign w:val="center"/>
          </w:tcPr>
          <w:p>
            <w:r/>
            <w:r>
              <w:rPr>
                <w:rFonts w:ascii="Times New Roman" w:hAnsi="Times New Roman"/>
                <w:b w:val="0"/>
                <w:sz w:val="14"/>
              </w:rPr>
              <w:t>No</w:t>
            </w:r>
          </w:p>
        </w:tc>
        <w:tc>
          <w:tcPr>
            <w:tcW w:type="dxa" w:w="1461"/>
            <w:vAlign w:val="center"/>
          </w:tcPr>
          <w:p>
            <w:r/>
            <w:r>
              <w:rPr>
                <w:rFonts w:ascii="Times New Roman" w:hAnsi="Times New Roman"/>
                <w:b w:val="0"/>
                <w:sz w:val="14"/>
              </w:rPr>
              <w:t>None</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0.8596</w:t>
            </w:r>
          </w:p>
        </w:tc>
        <w:tc>
          <w:tcPr>
            <w:tcW w:type="dxa" w:w="1461"/>
            <w:vAlign w:val="center"/>
          </w:tcPr>
          <w:p>
            <w:r/>
            <w:r>
              <w:rPr>
                <w:rFonts w:ascii="Times New Roman" w:hAnsi="Times New Roman"/>
                <w:b w:val="0"/>
                <w:sz w:val="14"/>
              </w:rPr>
              <w:t>0.8230</w:t>
            </w:r>
          </w:p>
        </w:tc>
        <w:tc>
          <w:tcPr>
            <w:tcW w:type="dxa" w:w="1461"/>
            <w:vAlign w:val="center"/>
          </w:tcPr>
          <w:p>
            <w:r/>
            <w:r>
              <w:rPr>
                <w:rFonts w:ascii="Times New Roman" w:hAnsi="Times New Roman"/>
                <w:b w:val="0"/>
                <w:sz w:val="14"/>
              </w:rPr>
              <w:t>0.7727</w:t>
            </w:r>
          </w:p>
        </w:tc>
        <w:tc>
          <w:tcPr>
            <w:tcW w:type="dxa" w:w="1461"/>
            <w:vAlign w:val="center"/>
          </w:tcPr>
          <w:p>
            <w:r/>
            <w:r>
              <w:rPr>
                <w:rFonts w:ascii="Times New Roman" w:hAnsi="Times New Roman"/>
                <w:b w:val="0"/>
                <w:sz w:val="14"/>
              </w:rPr>
              <w:t>0.7356</w:t>
            </w:r>
          </w:p>
        </w:tc>
      </w:tr>
      <w:tr>
        <w:tc>
          <w:tcPr>
            <w:tcW w:type="dxa" w:w="1461"/>
            <w:vAlign w:val="center"/>
          </w:tcPr>
          <w:p>
            <w:r/>
            <w:r>
              <w:rPr>
                <w:rFonts w:ascii="Times New Roman" w:hAnsi="Times New Roman"/>
                <w:b w:val="0"/>
                <w:sz w:val="14"/>
              </w:rPr>
              <w:t>No</w:t>
            </w:r>
          </w:p>
        </w:tc>
        <w:tc>
          <w:tcPr>
            <w:tcW w:type="dxa" w:w="1461"/>
            <w:vAlign w:val="center"/>
          </w:tcPr>
          <w:p>
            <w:r/>
            <w:r>
              <w:rPr>
                <w:rFonts w:ascii="Times New Roman" w:hAnsi="Times New Roman"/>
                <w:b w:val="0"/>
                <w:sz w:val="14"/>
              </w:rPr>
              <w:t>None</w:t>
            </w:r>
          </w:p>
        </w:tc>
        <w:tc>
          <w:tcPr>
            <w:tcW w:type="dxa" w:w="1461"/>
            <w:vAlign w:val="center"/>
          </w:tcPr>
          <w:p>
            <w:r/>
            <w:r>
              <w:rPr>
                <w:rFonts w:ascii="Times New Roman" w:hAnsi="Times New Roman"/>
                <w:b w:val="0"/>
                <w:sz w:val="14"/>
              </w:rPr>
              <w:t>Binary</w:t>
            </w:r>
          </w:p>
        </w:tc>
        <w:tc>
          <w:tcPr>
            <w:tcW w:type="dxa" w:w="1461"/>
            <w:vAlign w:val="center"/>
          </w:tcPr>
          <w:p>
            <w:r/>
            <w:r>
              <w:rPr>
                <w:rFonts w:ascii="Times New Roman" w:hAnsi="Times New Roman"/>
                <w:b w:val="0"/>
                <w:sz w:val="14"/>
              </w:rPr>
              <w:t>0.8597</w:t>
            </w:r>
          </w:p>
        </w:tc>
        <w:tc>
          <w:tcPr>
            <w:tcW w:type="dxa" w:w="1461"/>
            <w:vAlign w:val="center"/>
          </w:tcPr>
          <w:p>
            <w:r/>
            <w:r>
              <w:rPr>
                <w:rFonts w:ascii="Times New Roman" w:hAnsi="Times New Roman"/>
                <w:b w:val="0"/>
                <w:sz w:val="14"/>
              </w:rPr>
              <w:t>0.8253</w:t>
            </w:r>
          </w:p>
        </w:tc>
        <w:tc>
          <w:tcPr>
            <w:tcW w:type="dxa" w:w="1461"/>
            <w:vAlign w:val="center"/>
          </w:tcPr>
          <w:p>
            <w:r/>
            <w:r>
              <w:rPr>
                <w:rFonts w:ascii="Times New Roman" w:hAnsi="Times New Roman"/>
                <w:b w:val="0"/>
                <w:sz w:val="14"/>
              </w:rPr>
              <w:t>0.7670</w:t>
            </w:r>
          </w:p>
        </w:tc>
        <w:tc>
          <w:tcPr>
            <w:tcW w:type="dxa" w:w="1461"/>
            <w:vAlign w:val="center"/>
          </w:tcPr>
          <w:p>
            <w:r/>
            <w:r>
              <w:rPr>
                <w:rFonts w:ascii="Times New Roman" w:hAnsi="Times New Roman"/>
                <w:b w:val="0"/>
                <w:sz w:val="14"/>
              </w:rPr>
              <w:t>0.7199</w:t>
            </w:r>
          </w:p>
        </w:tc>
      </w:tr>
      <w:tr>
        <w:tc>
          <w:tcPr>
            <w:tcW w:type="dxa" w:w="1461"/>
            <w:vAlign w:val="center"/>
          </w:tcPr>
          <w:p>
            <w:r/>
            <w:r>
              <w:rPr>
                <w:rFonts w:ascii="Times New Roman" w:hAnsi="Times New Roman"/>
                <w:b w:val="0"/>
                <w:sz w:val="14"/>
              </w:rPr>
              <w:t>No</w:t>
            </w:r>
          </w:p>
        </w:tc>
        <w:tc>
          <w:tcPr>
            <w:tcW w:type="dxa" w:w="1461"/>
            <w:vAlign w:val="center"/>
          </w:tcPr>
          <w:p>
            <w:r/>
            <w:r>
              <w:rPr>
                <w:rFonts w:ascii="Times New Roman" w:hAnsi="Times New Roman"/>
                <w:b w:val="0"/>
                <w:sz w:val="14"/>
              </w:rPr>
              <w:t>Vanilla gate</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0.8671</w:t>
            </w:r>
          </w:p>
        </w:tc>
        <w:tc>
          <w:tcPr>
            <w:tcW w:type="dxa" w:w="1461"/>
            <w:vAlign w:val="center"/>
          </w:tcPr>
          <w:p>
            <w:r/>
            <w:r>
              <w:rPr>
                <w:rFonts w:ascii="Times New Roman" w:hAnsi="Times New Roman"/>
                <w:b w:val="0"/>
                <w:sz w:val="14"/>
              </w:rPr>
              <w:t>0.8408</w:t>
            </w:r>
          </w:p>
        </w:tc>
        <w:tc>
          <w:tcPr>
            <w:tcW w:type="dxa" w:w="1461"/>
            <w:vAlign w:val="center"/>
          </w:tcPr>
          <w:p>
            <w:r/>
            <w:r>
              <w:rPr>
                <w:rFonts w:ascii="Times New Roman" w:hAnsi="Times New Roman"/>
                <w:b w:val="0"/>
                <w:sz w:val="14"/>
              </w:rPr>
              <w:t>0.7560</w:t>
            </w:r>
          </w:p>
        </w:tc>
        <w:tc>
          <w:tcPr>
            <w:tcW w:type="dxa" w:w="1461"/>
            <w:vAlign w:val="center"/>
          </w:tcPr>
          <w:p>
            <w:r/>
            <w:r>
              <w:rPr>
                <w:rFonts w:ascii="Times New Roman" w:hAnsi="Times New Roman"/>
                <w:b w:val="0"/>
                <w:sz w:val="14"/>
              </w:rPr>
              <w:t>0.7311</w:t>
            </w:r>
          </w:p>
        </w:tc>
      </w:tr>
      <w:tr>
        <w:tc>
          <w:tcPr>
            <w:tcW w:type="dxa" w:w="1461"/>
            <w:vAlign w:val="center"/>
          </w:tcPr>
          <w:p>
            <w:r/>
            <w:r>
              <w:rPr>
                <w:rFonts w:ascii="Times New Roman" w:hAnsi="Times New Roman"/>
                <w:b w:val="0"/>
                <w:sz w:val="14"/>
              </w:rPr>
              <w:t>No</w:t>
            </w:r>
          </w:p>
        </w:tc>
        <w:tc>
          <w:tcPr>
            <w:tcW w:type="dxa" w:w="1461"/>
            <w:vAlign w:val="center"/>
          </w:tcPr>
          <w:p>
            <w:r/>
            <w:r>
              <w:rPr>
                <w:rFonts w:ascii="Times New Roman" w:hAnsi="Times New Roman"/>
                <w:b w:val="0"/>
                <w:sz w:val="14"/>
              </w:rPr>
              <w:t>CAD</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0.8685</w:t>
            </w:r>
          </w:p>
        </w:tc>
        <w:tc>
          <w:tcPr>
            <w:tcW w:type="dxa" w:w="1461"/>
            <w:vAlign w:val="center"/>
          </w:tcPr>
          <w:p>
            <w:r/>
            <w:r>
              <w:rPr>
                <w:rFonts w:ascii="Times New Roman" w:hAnsi="Times New Roman"/>
                <w:b w:val="0"/>
                <w:sz w:val="14"/>
              </w:rPr>
              <w:t>0.8358</w:t>
            </w:r>
          </w:p>
        </w:tc>
        <w:tc>
          <w:tcPr>
            <w:tcW w:type="dxa" w:w="1461"/>
            <w:vAlign w:val="center"/>
          </w:tcPr>
          <w:p>
            <w:r/>
            <w:r>
              <w:rPr>
                <w:rFonts w:ascii="Times New Roman" w:hAnsi="Times New Roman"/>
                <w:b w:val="0"/>
                <w:sz w:val="14"/>
              </w:rPr>
              <w:t>0.8158</w:t>
            </w:r>
          </w:p>
        </w:tc>
        <w:tc>
          <w:tcPr>
            <w:tcW w:type="dxa" w:w="1461"/>
            <w:vAlign w:val="center"/>
          </w:tcPr>
          <w:p>
            <w:r/>
            <w:r>
              <w:rPr>
                <w:rFonts w:ascii="Times New Roman" w:hAnsi="Times New Roman"/>
                <w:b w:val="0"/>
                <w:sz w:val="14"/>
              </w:rPr>
              <w:t>0.7777</w:t>
            </w:r>
          </w:p>
        </w:tc>
      </w:tr>
      <w:tr>
        <w:tc>
          <w:tcPr>
            <w:tcW w:type="dxa" w:w="1461"/>
            <w:vAlign w:val="center"/>
          </w:tcPr>
          <w:p>
            <w:r/>
            <w:r>
              <w:rPr>
                <w:rFonts w:ascii="Times New Roman" w:hAnsi="Times New Roman"/>
                <w:b w:val="0"/>
                <w:sz w:val="14"/>
              </w:rPr>
              <w:t>Yes</w:t>
            </w:r>
          </w:p>
        </w:tc>
        <w:tc>
          <w:tcPr>
            <w:tcW w:type="dxa" w:w="1461"/>
            <w:vAlign w:val="center"/>
          </w:tcPr>
          <w:p>
            <w:r/>
            <w:r>
              <w:rPr>
                <w:rFonts w:ascii="Times New Roman" w:hAnsi="Times New Roman"/>
                <w:b w:val="0"/>
                <w:sz w:val="14"/>
              </w:rPr>
              <w:t>None</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0.8567</w:t>
            </w:r>
          </w:p>
        </w:tc>
        <w:tc>
          <w:tcPr>
            <w:tcW w:type="dxa" w:w="1461"/>
            <w:vAlign w:val="center"/>
          </w:tcPr>
          <w:p>
            <w:r/>
            <w:r>
              <w:rPr>
                <w:rFonts w:ascii="Times New Roman" w:hAnsi="Times New Roman"/>
                <w:b w:val="0"/>
                <w:sz w:val="14"/>
              </w:rPr>
              <w:t>0.8297</w:t>
            </w:r>
          </w:p>
        </w:tc>
        <w:tc>
          <w:tcPr>
            <w:tcW w:type="dxa" w:w="1461"/>
            <w:vAlign w:val="center"/>
          </w:tcPr>
          <w:p>
            <w:r/>
            <w:r>
              <w:rPr>
                <w:rFonts w:ascii="Times New Roman" w:hAnsi="Times New Roman"/>
                <w:b w:val="0"/>
                <w:sz w:val="14"/>
              </w:rPr>
              <w:t>0.7115</w:t>
            </w:r>
          </w:p>
        </w:tc>
        <w:tc>
          <w:tcPr>
            <w:tcW w:type="dxa" w:w="1461"/>
            <w:vAlign w:val="center"/>
          </w:tcPr>
          <w:p>
            <w:r/>
            <w:r>
              <w:rPr>
                <w:rFonts w:ascii="Times New Roman" w:hAnsi="Times New Roman"/>
                <w:b w:val="0"/>
                <w:sz w:val="14"/>
              </w:rPr>
              <w:t>0.6990</w:t>
            </w:r>
          </w:p>
        </w:tc>
      </w:tr>
      <w:tr>
        <w:tc>
          <w:tcPr>
            <w:tcW w:type="dxa" w:w="1461"/>
            <w:vAlign w:val="center"/>
          </w:tcPr>
          <w:p>
            <w:r/>
            <w:r>
              <w:rPr>
                <w:rFonts w:ascii="Times New Roman" w:hAnsi="Times New Roman"/>
                <w:b w:val="0"/>
                <w:sz w:val="14"/>
              </w:rPr>
              <w:t>Yes</w:t>
            </w:r>
          </w:p>
        </w:tc>
        <w:tc>
          <w:tcPr>
            <w:tcW w:type="dxa" w:w="1461"/>
            <w:vAlign w:val="center"/>
          </w:tcPr>
          <w:p>
            <w:r/>
            <w:r>
              <w:rPr>
                <w:rFonts w:ascii="Times New Roman" w:hAnsi="Times New Roman"/>
                <w:b w:val="0"/>
                <w:sz w:val="14"/>
              </w:rPr>
              <w:t>Vanilla gate</w:t>
            </w:r>
          </w:p>
        </w:tc>
        <w:tc>
          <w:tcPr>
            <w:tcW w:type="dxa" w:w="1461"/>
            <w:vAlign w:val="center"/>
          </w:tcPr>
          <w:p>
            <w:r/>
            <w:r>
              <w:rPr>
                <w:rFonts w:ascii="Times New Roman" w:hAnsi="Times New Roman"/>
                <w:b w:val="0"/>
                <w:sz w:val="14"/>
              </w:rPr>
              <w:t>Gaussian</w:t>
            </w:r>
          </w:p>
        </w:tc>
        <w:tc>
          <w:tcPr>
            <w:tcW w:type="dxa" w:w="1461"/>
            <w:vAlign w:val="center"/>
          </w:tcPr>
          <w:p>
            <w:r/>
            <w:r>
              <w:rPr>
                <w:rFonts w:ascii="Times New Roman" w:hAnsi="Times New Roman"/>
                <w:b w:val="0"/>
                <w:sz w:val="14"/>
              </w:rPr>
              <w:t>0.8611</w:t>
            </w:r>
          </w:p>
        </w:tc>
        <w:tc>
          <w:tcPr>
            <w:tcW w:type="dxa" w:w="1461"/>
            <w:vAlign w:val="center"/>
          </w:tcPr>
          <w:p>
            <w:r/>
            <w:r>
              <w:rPr>
                <w:rFonts w:ascii="Times New Roman" w:hAnsi="Times New Roman"/>
                <w:b w:val="0"/>
                <w:sz w:val="14"/>
              </w:rPr>
              <w:t>0.8314</w:t>
            </w:r>
          </w:p>
        </w:tc>
        <w:tc>
          <w:tcPr>
            <w:tcW w:type="dxa" w:w="1461"/>
            <w:vAlign w:val="center"/>
          </w:tcPr>
          <w:p>
            <w:r/>
            <w:r>
              <w:rPr>
                <w:rFonts w:ascii="Times New Roman" w:hAnsi="Times New Roman"/>
                <w:b w:val="0"/>
                <w:sz w:val="14"/>
              </w:rPr>
              <w:t>0.7372</w:t>
            </w:r>
          </w:p>
        </w:tc>
        <w:tc>
          <w:tcPr>
            <w:tcW w:type="dxa" w:w="1461"/>
            <w:vAlign w:val="center"/>
          </w:tcPr>
          <w:p>
            <w:r/>
            <w:r>
              <w:rPr>
                <w:rFonts w:ascii="Times New Roman" w:hAnsi="Times New Roman"/>
                <w:b w:val="0"/>
                <w:sz w:val="14"/>
              </w:rPr>
              <w:t>0.7170</w:t>
            </w:r>
          </w:p>
        </w:tc>
      </w:tr>
      <w:tr>
        <w:tc>
          <w:tcPr>
            <w:tcW w:type="dxa" w:w="1461"/>
            <w:vAlign w:val="center"/>
          </w:tcPr>
          <w:p>
            <w:r/>
            <w:r>
              <w:rPr>
                <w:rFonts w:ascii="Times New Roman" w:hAnsi="Times New Roman"/>
                <w:b w:val="0"/>
                <w:sz w:val="14"/>
              </w:rPr>
              <w:t>Yes</w:t>
            </w:r>
          </w:p>
        </w:tc>
        <w:tc>
          <w:tcPr>
            <w:tcW w:type="dxa" w:w="1461"/>
            <w:vAlign w:val="center"/>
          </w:tcPr>
          <w:p>
            <w:r/>
            <w:r>
              <w:rPr>
                <w:rFonts w:ascii="Times New Roman" w:hAnsi="Times New Roman"/>
                <w:b w:val="0"/>
                <w:sz w:val="14"/>
              </w:rPr>
              <w:t>CAD</w:t>
            </w:r>
          </w:p>
        </w:tc>
        <w:tc>
          <w:tcPr>
            <w:tcW w:type="dxa" w:w="1461"/>
            <w:vAlign w:val="center"/>
          </w:tcPr>
          <w:p>
            <w:r/>
            <w:r>
              <w:rPr>
                <w:rFonts w:ascii="Times New Roman" w:hAnsi="Times New Roman"/>
                <w:b w:val="0"/>
                <w:sz w:val="14"/>
              </w:rPr>
              <w:t>Binary</w:t>
            </w:r>
          </w:p>
        </w:tc>
        <w:tc>
          <w:tcPr>
            <w:tcW w:type="dxa" w:w="1461"/>
            <w:vAlign w:val="center"/>
          </w:tcPr>
          <w:p>
            <w:r/>
            <w:r>
              <w:rPr>
                <w:rFonts w:ascii="Times New Roman" w:hAnsi="Times New Roman"/>
                <w:b w:val="0"/>
                <w:sz w:val="14"/>
              </w:rPr>
              <w:t>0.8611</w:t>
            </w:r>
          </w:p>
        </w:tc>
        <w:tc>
          <w:tcPr>
            <w:tcW w:type="dxa" w:w="1461"/>
            <w:vAlign w:val="center"/>
          </w:tcPr>
          <w:p>
            <w:r/>
            <w:r>
              <w:rPr>
                <w:rFonts w:ascii="Times New Roman" w:hAnsi="Times New Roman"/>
                <w:b w:val="0"/>
                <w:sz w:val="14"/>
              </w:rPr>
              <w:t>0.8317</w:t>
            </w:r>
          </w:p>
        </w:tc>
        <w:tc>
          <w:tcPr>
            <w:tcW w:type="dxa" w:w="1461"/>
            <w:vAlign w:val="center"/>
          </w:tcPr>
          <w:p>
            <w:r/>
            <w:r>
              <w:rPr>
                <w:rFonts w:ascii="Times New Roman" w:hAnsi="Times New Roman"/>
                <w:b w:val="0"/>
                <w:sz w:val="14"/>
              </w:rPr>
              <w:t>0.8132</w:t>
            </w:r>
          </w:p>
        </w:tc>
        <w:tc>
          <w:tcPr>
            <w:tcW w:type="dxa" w:w="1461"/>
            <w:vAlign w:val="center"/>
          </w:tcPr>
          <w:p>
            <w:r/>
            <w:r>
              <w:rPr>
                <w:rFonts w:ascii="Times New Roman" w:hAnsi="Times New Roman"/>
                <w:b w:val="0"/>
                <w:sz w:val="14"/>
              </w:rPr>
              <w:t>0.7896</w:t>
            </w:r>
          </w:p>
        </w:tc>
      </w:tr>
      <w:tr>
        <w:tc>
          <w:tcPr>
            <w:tcW w:type="dxa" w:w="1461"/>
            <w:vAlign w:val="center"/>
          </w:tcPr>
          <w:p>
            <w:r/>
            <w:r>
              <w:rPr>
                <w:rFonts w:ascii="Times New Roman" w:hAnsi="Times New Roman"/>
                <w:b w:val="0"/>
                <w:sz w:val="14"/>
              </w:rPr>
              <w:t>Yes</w:t>
            </w:r>
          </w:p>
        </w:tc>
        <w:tc>
          <w:tcPr>
            <w:tcW w:type="dxa" w:w="1461"/>
            <w:vAlign w:val="center"/>
          </w:tcPr>
          <w:p>
            <w:r/>
            <w:r>
              <w:rPr>
                <w:rFonts w:ascii="Times New Roman" w:hAnsi="Times New Roman"/>
                <w:b w:val="0"/>
                <w:sz w:val="14"/>
              </w:rPr>
              <w:t>CAD</w:t>
            </w:r>
          </w:p>
        </w:tc>
        <w:tc>
          <w:tcPr>
            <w:tcW w:type="dxa" w:w="1461"/>
            <w:vAlign w:val="center"/>
          </w:tcPr>
          <w:p>
            <w:r/>
            <w:r>
              <w:rPr>
                <w:rFonts w:ascii="Times New Roman" w:hAnsi="Times New Roman"/>
                <w:b w:val="0"/>
                <w:sz w:val="14"/>
              </w:rPr>
              <w:t>Gaussian (PGA-UNet)</w:t>
            </w:r>
          </w:p>
        </w:tc>
        <w:tc>
          <w:tcPr>
            <w:tcW w:type="dxa" w:w="1461"/>
            <w:vAlign w:val="center"/>
          </w:tcPr>
          <w:p>
            <w:r/>
            <w:r>
              <w:rPr>
                <w:rFonts w:ascii="Times New Roman" w:hAnsi="Times New Roman"/>
                <w:b w:val="0"/>
                <w:sz w:val="14"/>
              </w:rPr>
              <w:t>0.8788</w:t>
            </w:r>
          </w:p>
        </w:tc>
        <w:tc>
          <w:tcPr>
            <w:tcW w:type="dxa" w:w="1461"/>
            <w:vAlign w:val="center"/>
          </w:tcPr>
          <w:p>
            <w:r/>
            <w:r>
              <w:rPr>
                <w:rFonts w:ascii="Times New Roman" w:hAnsi="Times New Roman"/>
                <w:b w:val="0"/>
                <w:sz w:val="14"/>
              </w:rPr>
              <w:t>0.8496</w:t>
            </w:r>
          </w:p>
        </w:tc>
        <w:tc>
          <w:tcPr>
            <w:tcW w:type="dxa" w:w="1461"/>
            <w:vAlign w:val="center"/>
          </w:tcPr>
          <w:p>
            <w:r/>
            <w:r>
              <w:rPr>
                <w:rFonts w:ascii="Times New Roman" w:hAnsi="Times New Roman"/>
                <w:b w:val="0"/>
                <w:sz w:val="14"/>
              </w:rPr>
              <w:t>0.8286</w:t>
            </w:r>
          </w:p>
        </w:tc>
        <w:tc>
          <w:tcPr>
            <w:tcW w:type="dxa" w:w="1461"/>
            <w:vAlign w:val="center"/>
          </w:tcPr>
          <w:p>
            <w:r/>
            <w:r>
              <w:rPr>
                <w:rFonts w:ascii="Times New Roman" w:hAnsi="Times New Roman"/>
                <w:b w:val="0"/>
                <w:sz w:val="14"/>
              </w:rPr>
              <w:t>0.7925</w:t>
            </w:r>
          </w:p>
        </w:tc>
      </w:tr>
    </w:tbl>
    <w:p>
      <w:pPr>
        <w:spacing w:after="20"/>
      </w:pPr>
    </w:p>
    <w:p>
      <w:pPr>
        <w:spacing w:after="80" w:line="240" w:lineRule="auto"/>
        <w:ind w:firstLine="259"/>
        <w:jc w:val="both"/>
      </w:pPr>
      <w:r>
        <w:rPr>
          <w:rFonts w:ascii="Times New Roman" w:hAnsi="Times New Roman"/>
          <w:b w:val="0"/>
          <w:i w:val="0"/>
          <w:color w:val="FF0000"/>
          <w:sz w:val="20"/>
        </w:rPr>
        <w:t>The full PSG+CAD+Gaussian configuration is the best row in all four dataset/prompt settings on the reported split. The pattern suggests interaction between the components: PSG alone is not consistently beneficial, whereas CAD is more consistently helpful and the full combination performs best. Nevertheless, several pairwise differences are small (for example, the Gaussian-vs-binary gap under FracAtlas off-center prompts is 0.0029 Dice). Such small differences should not be presented as established component effects until repeated-seed uncertainty is reported.</w:t>
      </w:r>
    </w:p>
    <w:p>
      <w:pPr>
        <w:jc w:val="center"/>
      </w:pPr>
      <w:r>
        <w:drawing>
          <wp:inline xmlns:a="http://schemas.openxmlformats.org/drawingml/2006/main" xmlns:pic="http://schemas.openxmlformats.org/drawingml/2006/picture">
            <wp:extent cx="5029200" cy="3272640"/>
            <wp:docPr id="5" name="Picture 5"/>
            <wp:cNvGraphicFramePr>
              <a:graphicFrameLocks noChangeAspect="1"/>
            </wp:cNvGraphicFramePr>
            <a:graphic>
              <a:graphicData uri="http://schemas.openxmlformats.org/drawingml/2006/picture">
                <pic:pic>
                  <pic:nvPicPr>
                    <pic:cNvPr id="0" name="p9_img2.png"/>
                    <pic:cNvPicPr/>
                  </pic:nvPicPr>
                  <pic:blipFill>
                    <a:blip r:embed="rId15"/>
                    <a:stretch>
                      <a:fillRect/>
                    </a:stretch>
                  </pic:blipFill>
                  <pic:spPr>
                    <a:xfrm>
                      <a:off x="0" y="0"/>
                      <a:ext cx="5029200" cy="3272640"/>
                    </a:xfrm>
                    <a:prstGeom prst="rect"/>
                  </pic:spPr>
                </pic:pic>
              </a:graphicData>
            </a:graphic>
          </wp:inline>
        </w:drawing>
      </w:r>
    </w:p>
    <w:p>
      <w:pPr>
        <w:spacing w:after="120"/>
        <w:jc w:val="center"/>
      </w:pPr>
      <w:r>
        <w:rPr>
          <w:rFonts w:ascii="Times New Roman" w:hAnsi="Times New Roman"/>
          <w:b/>
          <w:sz w:val="16"/>
        </w:rPr>
        <w:t>FIGURE 5. Qualitative comparison between Gaussian and binary prompt representations on a representative BTXRD example.</w:t>
      </w:r>
    </w:p>
    <w:p>
      <w:pPr>
        <w:spacing w:before="160" w:after="80"/>
      </w:pPr>
      <w:r>
        <w:rPr>
          <w:rFonts w:ascii="Arial" w:hAnsi="Arial"/>
          <w:b/>
          <w:sz w:val="20"/>
        </w:rPr>
        <w:t>I. Failure Modes</w:t>
      </w:r>
    </w:p>
    <w:p>
      <w:pPr>
        <w:spacing w:after="80" w:line="240" w:lineRule="auto"/>
        <w:ind w:firstLine="259"/>
        <w:jc w:val="both"/>
      </w:pPr>
      <w:r>
        <w:rPr>
          <w:rFonts w:ascii="Times New Roman" w:hAnsi="Times New Roman"/>
          <w:b w:val="0"/>
          <w:i w:val="0"/>
          <w:color w:val="FF0000"/>
          <w:sz w:val="20"/>
        </w:rPr>
        <w:t>Lower Dice values are observed for elongated or branching targets, anatomically cluttered regions such as the shoulder or clavicle, and weak-contrast lesions. These cases indicate that a spatial prompt can reduce the search space but cannot eliminate ambiguity when the local radiographic evidence is insufficient.</w:t>
      </w:r>
    </w:p>
    <w:p>
      <w:pPr>
        <w:jc w:val="center"/>
      </w:pPr>
      <w:r>
        <w:drawing>
          <wp:inline xmlns:a="http://schemas.openxmlformats.org/drawingml/2006/main" xmlns:pic="http://schemas.openxmlformats.org/drawingml/2006/picture">
            <wp:extent cx="5120640" cy="1388759"/>
            <wp:docPr id="6" name="Picture 6"/>
            <wp:cNvGraphicFramePr>
              <a:graphicFrameLocks noChangeAspect="1"/>
            </wp:cNvGraphicFramePr>
            <a:graphic>
              <a:graphicData uri="http://schemas.openxmlformats.org/drawingml/2006/picture">
                <pic:pic>
                  <pic:nvPicPr>
                    <pic:cNvPr id="0" name="p10_img2.png"/>
                    <pic:cNvPicPr/>
                  </pic:nvPicPr>
                  <pic:blipFill>
                    <a:blip r:embed="rId16"/>
                    <a:stretch>
                      <a:fillRect/>
                    </a:stretch>
                  </pic:blipFill>
                  <pic:spPr>
                    <a:xfrm>
                      <a:off x="0" y="0"/>
                      <a:ext cx="5120640" cy="1388759"/>
                    </a:xfrm>
                    <a:prstGeom prst="rect"/>
                  </pic:spPr>
                </pic:pic>
              </a:graphicData>
            </a:graphic>
          </wp:inline>
        </w:drawing>
      </w:r>
    </w:p>
    <w:p>
      <w:pPr>
        <w:spacing w:after="120"/>
        <w:jc w:val="center"/>
      </w:pPr>
      <w:r>
        <w:rPr>
          <w:rFonts w:ascii="Times New Roman" w:hAnsi="Times New Roman"/>
          <w:b/>
          <w:sz w:val="16"/>
        </w:rPr>
        <w:t>FIGURE 6. Representative failure case in an anatomically overlapping region.</w:t>
      </w:r>
    </w:p>
    <w:p>
      <w:pPr>
        <w:spacing w:before="160" w:after="80"/>
      </w:pPr>
      <w:r>
        <w:rPr>
          <w:rFonts w:ascii="Arial" w:hAnsi="Arial"/>
          <w:b/>
          <w:sz w:val="22"/>
        </w:rPr>
        <w:t>VI. DISCUSSION</w:t>
      </w:r>
    </w:p>
    <w:p>
      <w:pPr>
        <w:spacing w:after="80" w:line="240" w:lineRule="auto"/>
        <w:ind w:firstLine="259"/>
        <w:jc w:val="both"/>
      </w:pPr>
      <w:r>
        <w:rPr>
          <w:rFonts w:ascii="Times New Roman" w:hAnsi="Times New Roman"/>
          <w:b w:val="0"/>
          <w:i w:val="0"/>
          <w:color w:val="FF0000"/>
          <w:sz w:val="20"/>
        </w:rPr>
        <w:t>The current evidence supports three main conclusions. First, PGA-UNet achieves strong segmentation accuracy under controlled box guidance on both BTXRD and FracAtlas, and its performance remains stable across four random image-level splits. Second, under the matched 256×256 box setting, PGA-UNet achieves higher Dice than fine-tuned SAM-Med2D, with the largest difference on test images containing very small lesion areas. Third, the full PSG+CAD+Gaussian configuration is the strongest observed ablation configuration and the model is substantially lighter than SAM-Med2D.</w:t>
      </w:r>
    </w:p>
    <w:p>
      <w:pPr>
        <w:spacing w:after="80" w:line="240" w:lineRule="auto"/>
        <w:ind w:firstLine="259"/>
        <w:jc w:val="both"/>
      </w:pPr>
      <w:r>
        <w:rPr>
          <w:rFonts w:ascii="Times New Roman" w:hAnsi="Times New Roman"/>
          <w:b w:val="0"/>
          <w:i w:val="0"/>
          <w:color w:val="FF0000"/>
          <w:sz w:val="20"/>
        </w:rPr>
        <w:t>These conclusions are intentionally narrower than the original manuscript wording. The large gap to prompt-free Attention U-Net primarily demonstrates the value of external localization information and cannot by itself isolate the benefit of the proposed architecture. Moreover, PGA-UNet experiences a larger relative Dice drop than SAM-Med2D when the prompt is shifted, so the current results establish higher absolute accuracy under the tested off-center boxes rather than superior invariance to prompt perturbation.</w:t>
      </w:r>
    </w:p>
    <w:p>
      <w:pPr>
        <w:spacing w:after="80" w:line="240" w:lineRule="auto"/>
        <w:ind w:firstLine="259"/>
        <w:jc w:val="both"/>
      </w:pPr>
      <w:r>
        <w:rPr>
          <w:rFonts w:ascii="Times New Roman" w:hAnsi="Times New Roman"/>
          <w:b w:val="0"/>
          <w:i w:val="0"/>
          <w:color w:val="FF0000"/>
          <w:sz w:val="20"/>
        </w:rPr>
        <w:t>The most important validity limitation is the prompt-generation protocol. Test boxes are derived from ground-truth masks and are constrained to cover the lesion. Such prompts provide strong information about location and approximate extent and are more favorable than some real clinical interactions. Radiologist-drawn boxes, partial-coverage boxes, large uncertain boxes, and negative/background prompts are required before claiming clinical robustness or workflow effectiveness. Patient-level separation also cannot be verified from the available public metadata, which may introduce optimistic bias if multiple images from the same patient exist.</w:t>
      </w:r>
    </w:p>
    <w:p>
      <w:pPr>
        <w:spacing w:after="80" w:line="240" w:lineRule="auto"/>
        <w:ind w:firstLine="259"/>
        <w:jc w:val="both"/>
      </w:pPr>
      <w:r>
        <w:rPr>
          <w:rFonts w:ascii="Times New Roman" w:hAnsi="Times New Roman"/>
          <w:b w:val="0"/>
          <w:i w:val="0"/>
          <w:color w:val="FF0000"/>
          <w:sz w:val="20"/>
        </w:rPr>
        <w:t>The ablation evidence should likewise be interpreted at the system level. The observed results are consistent with synergy between PSG, CAD, and Gaussian prompt smoothing, but the current manuscript does not include feature-level probing or repeated-seed ablations that establish a unique causal mechanism. Finally, fixed-resolution preprocessing can remove small-lesion detail, and the fixed Gaussian kernel introduces a resolution-dependent effective blur after resizing.</w:t>
      </w:r>
    </w:p>
    <w:p>
      <w:pPr>
        <w:spacing w:after="80" w:line="240" w:lineRule="auto"/>
        <w:ind w:firstLine="259"/>
        <w:jc w:val="both"/>
      </w:pPr>
      <w:r>
        <w:rPr>
          <w:rFonts w:ascii="Times New Roman" w:hAnsi="Times New Roman"/>
          <w:b/>
          <w:i w:val="0"/>
          <w:color w:val="FF0000"/>
          <w:sz w:val="20"/>
        </w:rPr>
        <w:t>[AUTHOR ACTION: after adding the fair box-guided baselines and prompt-robustness experiments, update this Discussion with the new numerical evidence and a concise statistical comparison. This is the single most important step for making the paper defensible under IEEE Access review.]</w:t>
      </w:r>
    </w:p>
    <w:p>
      <w:pPr>
        <w:spacing w:before="160" w:after="80"/>
      </w:pPr>
      <w:r>
        <w:rPr>
          <w:rFonts w:ascii="Arial" w:hAnsi="Arial"/>
          <w:b/>
          <w:sz w:val="22"/>
        </w:rPr>
        <w:t>VII. CONCLUSION</w:t>
      </w:r>
    </w:p>
    <w:p>
      <w:pPr>
        <w:spacing w:after="80" w:line="240" w:lineRule="auto"/>
        <w:ind w:firstLine="259"/>
        <w:jc w:val="both"/>
      </w:pPr>
      <w:r>
        <w:rPr>
          <w:rFonts w:ascii="Times New Roman" w:hAnsi="Times New Roman"/>
          <w:b w:val="0"/>
          <w:i w:val="0"/>
          <w:color w:val="FF0000"/>
          <w:sz w:val="20"/>
        </w:rPr>
        <w:t>This article presents PGA-UNet, a lightweight prompt-guided CNN for interactive bone X-ray lesion segmentation. The method converts a box prompt into a Gaussian-smoothed spatial prior and reuses that prior through encoder-side PSG and decoder-side CAD. On BTXRD and FracAtlas, PGA-UNet achieves strong Dice under controlled covering and off-center box prompts, outperforms fine-tuned SAM-Med2D at the matched 256×256 setting, performs particularly well on images with very small lesion areas, and requires substantially fewer parameters and operations. The ablation results indicate that the full PSG+CAD+Gaussian configuration is more effective than the tested partial variants on the reported split. The conclusions are limited to annotation-derived simulated prompts; evaluation with realistic user boxes, additional prompt-matched baselines, paired statistical analysis, and external or patient-separated validation remains necessary to establish broader clinical robustness and generalizability.</w:t>
      </w:r>
    </w:p>
    <w:p>
      <w:pPr>
        <w:spacing w:before="160" w:after="80"/>
      </w:pPr>
      <w:r>
        <w:rPr>
          <w:rFonts w:ascii="Arial" w:hAnsi="Arial"/>
          <w:b/>
          <w:sz w:val="22"/>
        </w:rPr>
        <w:t>DATA AVAILABILITY</w:t>
      </w:r>
    </w:p>
    <w:p>
      <w:pPr>
        <w:spacing w:after="80" w:line="240" w:lineRule="auto"/>
        <w:ind w:firstLine="259"/>
        <w:jc w:val="both"/>
      </w:pPr>
      <w:r>
        <w:rPr>
          <w:rFonts w:ascii="Times New Roman" w:hAnsi="Times New Roman"/>
          <w:b w:val="0"/>
          <w:i w:val="0"/>
          <w:color w:val="FF0000"/>
          <w:sz w:val="20"/>
        </w:rPr>
        <w:t>BTXRD and FracAtlas are public datasets cited in this article. The manuscript reports experiments on image-level train/validation/test splits derived from those datasets. Code, exact split files, prompt-generation code, and evaluation scripts should be released with the final reproducibility package.</w:t>
      </w:r>
    </w:p>
    <w:p>
      <w:pPr>
        <w:spacing w:before="160" w:after="80"/>
      </w:pPr>
      <w:r>
        <w:rPr>
          <w:rFonts w:ascii="Arial" w:hAnsi="Arial"/>
          <w:b/>
          <w:sz w:val="22"/>
        </w:rPr>
        <w:t>AUTHOR CONTRIBUTIONS</w:t>
      </w:r>
    </w:p>
    <w:p>
      <w:pPr>
        <w:spacing w:after="80" w:line="240" w:lineRule="auto"/>
        <w:ind w:firstLine="259"/>
        <w:jc w:val="both"/>
      </w:pPr>
      <w:r>
        <w:rPr>
          <w:rFonts w:ascii="Times New Roman" w:hAnsi="Times New Roman"/>
          <w:b w:val="0"/>
          <w:i w:val="0"/>
          <w:sz w:val="20"/>
        </w:rPr>
        <w:t>Thong Luc: conceptualization, methodology, software, investigation, formal analysis, visualization, writing of the original draft. Nguyen Huu Binh: software support, data preparation, experiment verification, review and editing. Ly Quoc Ngoc: supervision, validation, review and editing.</w:t>
      </w:r>
    </w:p>
    <w:p>
      <w:pPr>
        <w:spacing w:before="160" w:after="80"/>
      </w:pPr>
      <w:r>
        <w:rPr>
          <w:rFonts w:ascii="Arial" w:hAnsi="Arial"/>
          <w:b/>
          <w:sz w:val="22"/>
        </w:rPr>
        <w:t>ETHICS STATEMENT</w:t>
      </w:r>
    </w:p>
    <w:p>
      <w:pPr>
        <w:spacing w:after="80" w:line="240" w:lineRule="auto"/>
        <w:ind w:firstLine="259"/>
        <w:jc w:val="both"/>
      </w:pPr>
      <w:r>
        <w:rPr>
          <w:rFonts w:ascii="Times New Roman" w:hAnsi="Times New Roman"/>
          <w:b w:val="0"/>
          <w:i w:val="0"/>
          <w:sz w:val="20"/>
        </w:rPr>
        <w:t>This study used public de-identified radiograph datasets and did not involve prospective data collection, patient contact, or intervention.</w:t>
      </w:r>
    </w:p>
    <w:p>
      <w:pPr>
        <w:spacing w:before="160" w:after="80"/>
      </w:pPr>
      <w:r>
        <w:rPr>
          <w:rFonts w:ascii="Arial" w:hAnsi="Arial"/>
          <w:b/>
          <w:sz w:val="22"/>
        </w:rPr>
        <w:t>ACKNOWLEDGMENT</w:t>
      </w:r>
    </w:p>
    <w:p>
      <w:pPr>
        <w:spacing w:after="80" w:line="240" w:lineRule="auto"/>
        <w:ind w:firstLine="259"/>
        <w:jc w:val="both"/>
      </w:pPr>
      <w:r>
        <w:rPr>
          <w:rFonts w:ascii="Times New Roman" w:hAnsi="Times New Roman"/>
          <w:b w:val="0"/>
          <w:i w:val="0"/>
          <w:color w:val="FF0000"/>
          <w:sz w:val="20"/>
        </w:rPr>
        <w:t>[AUTHOR ACTION: update the AI-use disclosure to match the exact final workflow and current IEEE policy. Suggested wording if accurate: ‘OpenAI ChatGPT was used to assist with language editing and editorial restructuring of selected manuscript passages. It was not used to generate experimental data or fabricate references. All technical content, numerical results, references, figures, tables, and conclusions were reviewed and verified by the authors, who take full responsibility for the final manuscript.’]</w:t>
      </w:r>
    </w:p>
    <w:p>
      <w:pPr>
        <w:spacing w:before="160" w:after="80"/>
      </w:pPr>
      <w:r>
        <w:rPr>
          <w:rFonts w:ascii="Arial" w:hAnsi="Arial"/>
          <w:b/>
          <w:sz w:val="22"/>
        </w:rPr>
        <w:t>REFERENCES</w:t>
      </w:r>
    </w:p>
    <w:p>
      <w:pPr>
        <w:spacing w:after="40" w:line="240" w:lineRule="auto"/>
        <w:ind w:hanging="288"/>
      </w:pPr>
      <w:r>
        <w:rPr>
          <w:rFonts w:ascii="Times New Roman" w:hAnsi="Times New Roman"/>
          <w:b w:val="0"/>
          <w:i w:val="0"/>
          <w:sz w:val="17"/>
        </w:rPr>
        <w:t>[1] A. Kirillov et al., “Segment Anything,” in Proc. IEEE/CVF Int. Conf. Comput. Vis., 2023, pp. 4015–4026.</w:t>
      </w:r>
    </w:p>
    <w:p>
      <w:pPr>
        <w:spacing w:after="40" w:line="240" w:lineRule="auto"/>
        <w:ind w:hanging="288"/>
      </w:pPr>
      <w:r>
        <w:rPr>
          <w:rFonts w:ascii="Times New Roman" w:hAnsi="Times New Roman"/>
          <w:b w:val="0"/>
          <w:i w:val="0"/>
          <w:sz w:val="17"/>
        </w:rPr>
        <w:t>[2] J. Cheng et al., “SAM-Med2D,” arXiv:2308.16184, 2023.</w:t>
      </w:r>
    </w:p>
    <w:p>
      <w:pPr>
        <w:spacing w:after="40" w:line="240" w:lineRule="auto"/>
        <w:ind w:hanging="288"/>
      </w:pPr>
      <w:r>
        <w:rPr>
          <w:rFonts w:ascii="Times New Roman" w:hAnsi="Times New Roman"/>
          <w:b w:val="0"/>
          <w:i w:val="0"/>
          <w:sz w:val="17"/>
        </w:rPr>
        <w:t>[3] O. Ronneberger, P. Fischer, and T. Brox, “U-Net: Convolutional Networks for Biomedical Image Segmentation,” in MICCAI, 2015, pp. 234–241.</w:t>
      </w:r>
    </w:p>
    <w:p>
      <w:pPr>
        <w:spacing w:after="40" w:line="240" w:lineRule="auto"/>
        <w:ind w:hanging="288"/>
      </w:pPr>
      <w:r>
        <w:rPr>
          <w:rFonts w:ascii="Times New Roman" w:hAnsi="Times New Roman"/>
          <w:b w:val="0"/>
          <w:i w:val="0"/>
          <w:sz w:val="17"/>
        </w:rPr>
        <w:t>[4] O. Oktay et al., “Attention U-Net: Learning Where to Look for the Pancreas,” in Medical Imaging with Deep Learning, 2018.</w:t>
      </w:r>
    </w:p>
    <w:p>
      <w:pPr>
        <w:spacing w:after="40" w:line="240" w:lineRule="auto"/>
        <w:ind w:hanging="288"/>
      </w:pPr>
      <w:r>
        <w:rPr>
          <w:rFonts w:ascii="Times New Roman" w:hAnsi="Times New Roman"/>
          <w:b w:val="0"/>
          <w:i w:val="0"/>
          <w:sz w:val="17"/>
        </w:rPr>
        <w:t>[5] N. Xu, B. Price, S. Cohen, J. Yang, and T. S. Huang, “Deep Interactive Object Selection,” in Proc. IEEE Conf. Comput. Vis. Pattern Recognit., 2016, pp. 373–381.</w:t>
      </w:r>
    </w:p>
    <w:p>
      <w:pPr>
        <w:spacing w:after="40" w:line="240" w:lineRule="auto"/>
        <w:ind w:hanging="288"/>
      </w:pPr>
      <w:r>
        <w:rPr>
          <w:rFonts w:ascii="Times New Roman" w:hAnsi="Times New Roman"/>
          <w:b w:val="0"/>
          <w:i w:val="0"/>
          <w:sz w:val="17"/>
        </w:rPr>
        <w:t>[6] G. Wang et al., “DeepIGeoS: A Deep Interactive Geodesic Framework for Medical Image Segmentation,” IEEE Trans. Pattern Anal. Mach. Intell., vol. 41, no. 7, pp. 1559–1572, 2019.</w:t>
      </w:r>
    </w:p>
    <w:p>
      <w:pPr>
        <w:spacing w:after="40" w:line="240" w:lineRule="auto"/>
        <w:ind w:hanging="288"/>
      </w:pPr>
      <w:r>
        <w:rPr>
          <w:rFonts w:ascii="Times New Roman" w:hAnsi="Times New Roman"/>
          <w:b w:val="0"/>
          <w:i w:val="0"/>
          <w:sz w:val="17"/>
        </w:rPr>
        <w:t>[7] S. Yao et al., “A Radiograph Dataset for the Classification, Localization, and Segmentation of Primary Bone Tumors,” Scientific Data, vol. 12, no. 1, p. 88, 2025.</w:t>
      </w:r>
    </w:p>
    <w:p>
      <w:pPr>
        <w:spacing w:after="40" w:line="240" w:lineRule="auto"/>
        <w:ind w:hanging="288"/>
      </w:pPr>
      <w:r>
        <w:rPr>
          <w:rFonts w:ascii="Times New Roman" w:hAnsi="Times New Roman"/>
          <w:b w:val="0"/>
          <w:i w:val="0"/>
          <w:sz w:val="17"/>
        </w:rPr>
        <w:t>[8] I. Abedeen et al., “FracAtlas: A Dataset for Fracture Classification, Localization and Segmentation of Musculoskeletal Radiographs,” Scientific Data, vol. 10, no. 1, p. 521, 2023.</w:t>
      </w:r>
    </w:p>
    <w:p>
      <w:pPr>
        <w:spacing w:after="40" w:line="240" w:lineRule="auto"/>
        <w:ind w:hanging="288"/>
      </w:pPr>
      <w:r>
        <w:rPr>
          <w:rFonts w:ascii="Times New Roman" w:hAnsi="Times New Roman"/>
          <w:b w:val="0"/>
          <w:i w:val="0"/>
          <w:sz w:val="17"/>
        </w:rPr>
        <w:t>[9] J. Ma et al., “Segment Anything in Medical Images,” Nature Communications, vol. 15, art. 654, 2024.</w:t>
      </w:r>
    </w:p>
    <w:p>
      <w:pPr>
        <w:spacing w:after="40" w:line="240" w:lineRule="auto"/>
        <w:ind w:hanging="288"/>
      </w:pPr>
      <w:r>
        <w:rPr>
          <w:rFonts w:ascii="Times New Roman" w:hAnsi="Times New Roman"/>
          <w:b w:val="0"/>
          <w:i w:val="0"/>
          <w:color w:val="FF0000"/>
          <w:sz w:val="17"/>
        </w:rPr>
        <w:t>[10] F. Isensee, P. F. Jaeger, S. A. A. Kohl, J. Petersen, and K. H. Maier-Hein, “nnU-Net: a self-configuring method for deep learning-based biomedical image segmentation,” Nature Methods, vol. 18, pp. 203–211, 2021.</w:t>
      </w:r>
    </w:p>
    <w:p>
      <w:pPr>
        <w:spacing w:after="40" w:line="240" w:lineRule="auto"/>
        <w:ind w:hanging="288"/>
      </w:pPr>
      <w:r>
        <w:rPr>
          <w:rFonts w:ascii="Times New Roman" w:hAnsi="Times New Roman"/>
          <w:b w:val="0"/>
          <w:i w:val="0"/>
          <w:color w:val="FF0000"/>
          <w:sz w:val="17"/>
        </w:rPr>
        <w:t>[11] H. E. Wong, M. Rakic, J. Guttag, and A. V. Dalca, “ScribblePrompt: Fast and Flexible Interactive Segmentation for Any Biomedical Image,” in Computer Vision – ECCV 2024, pp. 207–229, 2024, doi: 10.1007/978-3-031-73661-2_12.</w:t>
      </w:r>
    </w:p>
    <w:p>
      <w:pPr>
        <w:spacing w:after="40" w:line="240" w:lineRule="auto"/>
        <w:ind w:hanging="288"/>
      </w:pPr>
      <w:r>
        <w:rPr>
          <w:rFonts w:ascii="Times New Roman" w:hAnsi="Times New Roman"/>
          <w:b w:val="0"/>
          <w:i w:val="0"/>
          <w:color w:val="FF0000"/>
          <w:sz w:val="17"/>
        </w:rPr>
        <w:t>[12] G. Dong et al., “An efficient segment anything model for the segmentation of medical images,” Scientific Reports, vol. 14, art. 19425, 2024, doi: 10.1038/s41598-024-70288-8.</w:t>
      </w:r>
    </w:p>
    <w:p>
      <w:pPr>
        <w:spacing w:after="40" w:line="240" w:lineRule="auto"/>
        <w:ind w:hanging="288"/>
      </w:pPr>
      <w:r>
        <w:rPr>
          <w:rFonts w:ascii="Times New Roman" w:hAnsi="Times New Roman"/>
          <w:b w:val="0"/>
          <w:i w:val="0"/>
          <w:color w:val="FF0000"/>
          <w:sz w:val="17"/>
        </w:rPr>
        <w:t>[13] J. Wu et al., “Medical SAM adapter: Adapting segment anything model for medical image segmentation,” Medical Image Analysis, vol. 102, art. 103547, 2025, doi: 10.1016/j.media.2025.103547.</w:t>
      </w:r>
    </w:p>
    <w:p>
      <w:pPr>
        <w:spacing w:before="160" w:after="80"/>
      </w:pPr>
      <w:r>
        <w:rPr>
          <w:rFonts w:ascii="Arial" w:hAnsi="Arial"/>
          <w:b/>
          <w:sz w:val="22"/>
        </w:rPr>
        <w:t>AUTHOR BIOGRAPHIES</w:t>
      </w:r>
    </w:p>
    <w:p>
      <w:pPr>
        <w:spacing w:after="80" w:line="240" w:lineRule="auto"/>
        <w:ind w:firstLine="0"/>
      </w:pPr>
      <w:r>
        <w:rPr>
          <w:rFonts w:ascii="Times New Roman" w:hAnsi="Times New Roman"/>
          <w:b w:val="0"/>
          <w:i w:val="0"/>
          <w:color w:val="FF0000"/>
          <w:sz w:val="18"/>
        </w:rPr>
        <w:t>THONG LUC — [retain the verified biography and author photo from the current manuscript; proofread before submission.]</w:t>
      </w:r>
    </w:p>
    <w:p>
      <w:pPr>
        <w:spacing w:after="80" w:line="240" w:lineRule="auto"/>
        <w:ind w:firstLine="0"/>
      </w:pPr>
      <w:r>
        <w:rPr>
          <w:rFonts w:ascii="Times New Roman" w:hAnsi="Times New Roman"/>
          <w:b w:val="0"/>
          <w:i w:val="0"/>
          <w:color w:val="FF0000"/>
          <w:sz w:val="18"/>
        </w:rPr>
        <w:t>NGUYEN HUU BINH — [retain the verified biography from the current manuscript; add/confirm photo if required by the final IEEE Access template.]</w:t>
      </w:r>
    </w:p>
    <w:p>
      <w:pPr>
        <w:spacing w:after="80" w:line="240" w:lineRule="auto"/>
        <w:ind w:firstLine="0"/>
      </w:pPr>
      <w:r>
        <w:rPr>
          <w:rFonts w:ascii="Times New Roman" w:hAnsi="Times New Roman"/>
          <w:b/>
          <w:i w:val="0"/>
          <w:color w:val="FF0000"/>
          <w:sz w:val="18"/>
        </w:rPr>
        <w:t>LY QUOC NGOC — [AUTHOR ACTION: insert complete IEEE Access short biography and author photo; the current manuscript contains a placeholder.]</w:t>
      </w:r>
    </w:p>
    <w:p>
      <w:r>
        <w:br w:type="page"/>
      </w:r>
    </w:p>
    <w:p>
      <w:pPr>
        <w:spacing w:before="160" w:after="80"/>
      </w:pPr>
      <w:r>
        <w:rPr>
          <w:rFonts w:ascii="Arial" w:hAnsi="Arial"/>
          <w:b/>
          <w:color w:val="FF0000"/>
          <w:sz w:val="22"/>
        </w:rPr>
        <w:t>EDITORIAL CHECKLIST — REMOVE THIS PAGE BEFORE SUBMISSION</w:t>
      </w:r>
    </w:p>
    <w:p>
      <w:pPr>
        <w:spacing w:after="80"/>
        <w:ind w:left="360" w:hanging="216"/>
      </w:pPr>
      <w:r>
        <w:rPr>
          <w:rFonts w:ascii="Times New Roman" w:hAnsi="Times New Roman"/>
          <w:color w:val="FF0000"/>
          <w:sz w:val="20"/>
        </w:rPr>
        <w:t>• Use the official current IEEE Access double-column, single-spaced Word/LaTeX template; ensure the Word and PDF contents match exactly.</w:t>
      </w:r>
    </w:p>
    <w:p>
      <w:pPr>
        <w:spacing w:after="80"/>
        <w:ind w:left="360" w:hanging="216"/>
      </w:pPr>
      <w:r>
        <w:rPr>
          <w:rFonts w:ascii="Times New Roman" w:hAnsi="Times New Roman"/>
          <w:color w:val="FF0000"/>
          <w:sz w:val="20"/>
        </w:rPr>
        <w:t>• Resolve all author affiliation and biography placeholders; include short biographies for every author.</w:t>
      </w:r>
    </w:p>
    <w:p>
      <w:pPr>
        <w:spacing w:after="80"/>
        <w:ind w:left="360" w:hanging="216"/>
      </w:pPr>
      <w:r>
        <w:rPr>
          <w:rFonts w:ascii="Times New Roman" w:hAnsi="Times New Roman"/>
          <w:color w:val="FF0000"/>
          <w:sz w:val="20"/>
        </w:rPr>
        <w:t>• Add fair box-guided U-Net/Attention U-Net baselines; preferably add at least one additional modern prompt-based baseline.</w:t>
      </w:r>
    </w:p>
    <w:p>
      <w:pPr>
        <w:spacing w:after="80"/>
        <w:ind w:left="360" w:hanging="216"/>
      </w:pPr>
      <w:r>
        <w:rPr>
          <w:rFonts w:ascii="Times New Roman" w:hAnsi="Times New Roman"/>
          <w:color w:val="FF0000"/>
          <w:sz w:val="20"/>
        </w:rPr>
        <w:t>• Run paired multi-seed/repeated-split comparisons and report 95% confidence intervals or paired bootstrap for the main claims and key ablations.</w:t>
      </w:r>
    </w:p>
    <w:p>
      <w:pPr>
        <w:spacing w:after="80"/>
        <w:ind w:left="360" w:hanging="216"/>
      </w:pPr>
      <w:r>
        <w:rPr>
          <w:rFonts w:ascii="Times New Roman" w:hAnsi="Times New Roman"/>
          <w:color w:val="FF0000"/>
          <w:sz w:val="20"/>
        </w:rPr>
        <w:t>• Add realistic prompt stress tests including partial coverage and negative/background boxes; avoid “clinical robustness” language until these are completed.</w:t>
      </w:r>
    </w:p>
    <w:p>
      <w:pPr>
        <w:spacing w:after="80"/>
        <w:ind w:left="360" w:hanging="216"/>
      </w:pPr>
      <w:r>
        <w:rPr>
          <w:rFonts w:ascii="Times New Roman" w:hAnsi="Times New Roman"/>
          <w:color w:val="FF0000"/>
          <w:sz w:val="20"/>
        </w:rPr>
        <w:t>• If patient identifiers become available, re-split at patient level; otherwise keep the limitation explicit.</w:t>
      </w:r>
    </w:p>
    <w:p>
      <w:pPr>
        <w:spacing w:after="80"/>
        <w:ind w:left="360" w:hanging="216"/>
      </w:pPr>
      <w:r>
        <w:rPr>
          <w:rFonts w:ascii="Times New Roman" w:hAnsi="Times New Roman"/>
          <w:color w:val="FF0000"/>
          <w:sz w:val="20"/>
        </w:rPr>
        <w:t>• Report exact latency measurement protocol, software versions, and CPU specification.</w:t>
      </w:r>
    </w:p>
    <w:p>
      <w:pPr>
        <w:spacing w:after="80"/>
        <w:ind w:left="360" w:hanging="216"/>
      </w:pPr>
      <w:r>
        <w:rPr>
          <w:rFonts w:ascii="Times New Roman" w:hAnsi="Times New Roman"/>
          <w:color w:val="FF0000"/>
          <w:sz w:val="20"/>
        </w:rPr>
        <w:t>• Ensure every metric mentioned in Methods is actually reported; the revised text currently limits primary metrics to Dice, CBL, and HD95.</w:t>
      </w:r>
    </w:p>
    <w:p>
      <w:pPr>
        <w:spacing w:after="80"/>
        <w:ind w:left="360" w:hanging="216"/>
      </w:pPr>
      <w:r>
        <w:rPr>
          <w:rFonts w:ascii="Times New Roman" w:hAnsi="Times New Roman"/>
          <w:color w:val="FF0000"/>
          <w:sz w:val="20"/>
        </w:rPr>
        <w:t>• Change “50 smallest lesions” to “50 test images with the smallest total lesion area” everywhere unless the subset is recomputed per lesion.</w:t>
      </w:r>
    </w:p>
    <w:p>
      <w:pPr>
        <w:spacing w:after="80"/>
        <w:ind w:left="360" w:hanging="216"/>
      </w:pPr>
      <w:r>
        <w:rPr>
          <w:rFonts w:ascii="Times New Roman" w:hAnsi="Times New Roman"/>
          <w:color w:val="FF0000"/>
          <w:sz w:val="20"/>
        </w:rPr>
        <w:t>• Validate every added reference and bibliography field in a reference manager; check for retractions.</w:t>
      </w:r>
    </w:p>
    <w:p>
      <w:pPr>
        <w:spacing w:after="80"/>
        <w:ind w:left="360" w:hanging="216"/>
      </w:pPr>
      <w:r>
        <w:rPr>
          <w:rFonts w:ascii="Times New Roman" w:hAnsi="Times New Roman"/>
          <w:color w:val="FF0000"/>
          <w:sz w:val="20"/>
        </w:rPr>
        <w:t>• Remove template artifacts such as an obsolete “VOLUME 11, 2023” footer and blank DOI placeholders from the final source.</w:t>
      </w:r>
    </w:p>
    <w:p>
      <w:pPr>
        <w:spacing w:after="80"/>
        <w:ind w:left="360" w:hanging="216"/>
      </w:pPr>
      <w:r>
        <w:rPr>
          <w:rFonts w:ascii="Times New Roman" w:hAnsi="Times New Roman"/>
          <w:color w:val="FF0000"/>
          <w:sz w:val="20"/>
        </w:rPr>
        <w:t>• Update the AI-use acknowledgment to describe the actual final use of AI-assisted editing and comply with the submission-time IEEE policy.</w:t>
      </w:r>
    </w:p>
    <w:p>
      <w:pPr>
        <w:spacing w:after="80"/>
        <w:ind w:left="360" w:hanging="216"/>
      </w:pPr>
      <w:r>
        <w:rPr>
          <w:rFonts w:ascii="Times New Roman" w:hAnsi="Times New Roman"/>
          <w:color w:val="FF0000"/>
          <w:sz w:val="20"/>
        </w:rPr>
        <w:t>• Release code, exact split files, prompt simulation, and evaluation scripts if possible; reproducibility will materially strengthen the submission.</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FF0000"/>
        <w:sz w:val="16"/>
      </w:rPr>
      <w:t>RED = revised/added text or author action; remove action notes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PGA-UNet — IEEE Access redline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