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05/09/2025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Sede de Duoc UC Plaza Vespucio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Organizar equipo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 y 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 por este 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preparó el entregable intermedio. El equipo acordó tener Jira, acuerdos y documentación listos.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tablero Jira y próximos 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acuerdos y checklist de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documentación del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Ind w:w="-71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5">
          <w:pPr>
            <w:pStyle w:val="Heading1"/>
            <w:spacing w:after="40" w:before="60" w:lineRule="auto"/>
            <w:ind w:right="360"/>
            <w:rPr>
              <w:rFonts w:ascii="KPMG Logo" w:cs="KPMG Logo" w:eastAsia="KPMG Logo" w:hAnsi="KPMG Logo"/>
              <w:sz w:val="56"/>
              <w:szCs w:val="5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proyecto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8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Sede: Plaza Vespucio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A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rPr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fdUwINBswRWjkd9ydQg9VHgH3Q==">CgMxLjA4AHIhMXgyZmluTGYtLU44cUo4NWFSamtXd3E1b1U2UFZ0VXRz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