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Arial" w:hAnsi="Arial"/>
          <w:b/>
          <w:i w:val="0"/>
          <w:color w:val="B7791F"/>
          <w:sz w:val="23"/>
        </w:rPr>
        <w:t>Centro de Inteligencia Educativa de Classio</w:t>
      </w:r>
    </w:p>
    <w:p>
      <w:pPr>
        <w:spacing w:before="320" w:after="120"/>
        <w:jc w:val="center"/>
      </w:pPr>
      <w:r>
        <w:rPr>
          <w:rFonts w:ascii="Arial" w:hAnsi="Arial"/>
          <w:b/>
          <w:i w:val="0"/>
          <w:color w:val="1F3A5F"/>
          <w:sz w:val="48"/>
        </w:rPr>
        <w:t>Informe Técnico de Ciencia de Datos</w:t>
      </w:r>
    </w:p>
    <w:p>
      <w:pPr>
        <w:spacing w:after="320"/>
        <w:jc w:val="center"/>
      </w:pPr>
      <w:r>
        <w:rPr>
          <w:rFonts w:ascii="Arial" w:hAnsi="Arial"/>
          <w:b w:val="0"/>
          <w:i w:val="0"/>
          <w:color w:val="5A626F"/>
          <w:sz w:val="22"/>
        </w:rPr>
        <w:t>Paquete de validación técnica para revisores internos autorizados.</w:t>
      </w:r>
    </w:p>
    <w:p>
      <w:pPr>
        <w:spacing w:after="320"/>
        <w:jc w:val="center"/>
      </w:pPr>
      <w:r>
        <w:rPr>
          <w:rFonts w:ascii="Arial" w:hAnsi="Arial"/>
          <w:b/>
          <w:i w:val="0"/>
          <w:color w:val="17807E"/>
          <w:sz w:val="21"/>
        </w:rPr>
        <w:t>Estado de validación: Validado - sin un ganador concluyente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5A626F"/>
          <w:sz w:val="20"/>
        </w:rPr>
        <w:t>Generado el 17/07/2026 21:54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5A626F"/>
          <w:sz w:val="20"/>
        </w:rPr>
        <w:t>Ejecución validada: 6443d064bc0c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5A626F"/>
          <w:sz w:val="20"/>
        </w:rPr>
        <w:t>Huella del conjunto de datos: 342d351fd7b8...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Control documental y metadatos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Campo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Valor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Estado de la ejecución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Validado - sin un ganador concluyente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Integridad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Aprobada sin un ganador concluyente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Madurez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Solo exploratorio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Versión del objetivo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Opened Within 7d V1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Versión del esquema de variables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Assigned Resource Open 7d V1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ID de ejecución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6443d064bc0c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Huella del conjunto de datos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342d351fd7b81b6a0c14168336883de6eaee6596e4f9b14f84e3c1e5a7b292f8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Chronological cutoff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2026-06-30T17:56:21.615697+00:00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Definición del experimento</w:t>
      </w:r>
    </w:p>
    <w:p>
      <w:r>
        <w:rPr>
          <w:rFonts w:ascii="Arial" w:hAnsi="Arial"/>
          <w:b w:val="0"/>
          <w:i w:val="0"/>
          <w:color w:val="282828"/>
          <w:sz w:val="21"/>
        </w:rPr>
        <w:t>Can Classio predict whether a student will open an assigned resource within seven days of assignment?</w:t>
      </w:r>
    </w:p>
    <w:p>
      <w:r>
        <w:rPr>
          <w:rFonts w:ascii="Arial" w:hAnsi="Arial"/>
          <w:b w:val="0"/>
          <w:i w:val="0"/>
          <w:color w:val="282828"/>
          <w:sz w:val="21"/>
        </w:rPr>
        <w:t>Prediction target: opened_within_7d, based on assignment-open behavior within a seven-day window.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Tablas fuente y lógica de extracción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Source tables: teacher_assignments, teacher_assignment_attempts, practice_sessions, resource_exposures, and resource_exposure_events.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Extraction logic is frozen in the validated run artifacts and summarized in the dataset summary JSON.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All feature construction is constrained to information known at or before assignment time.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Contabilidad del conjunto de datos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Campo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Valor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Source rows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128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Included rows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126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Positives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73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Negatives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53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Right-censored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Teachers represented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Students represented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15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Resources represented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61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Date range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2026-04-10T11:54:00.263328+00:00 to 2026-07-17T17:21:47.105912+00:00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Chronological cutoff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2026-06-30T17:56:21.615697+00:00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Development rows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100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Holdout rows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26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Excluded: Observation Window Open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120640" cy="30920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_balance_5652fd997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92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1. Stored target/class distribution.</w:t>
      </w:r>
    </w:p>
    <w:p>
      <w:r>
        <w:drawing>
          <wp:inline xmlns:a="http://schemas.openxmlformats.org/drawingml/2006/main" xmlns:pic="http://schemas.openxmlformats.org/drawingml/2006/picture">
            <wp:extent cx="5852160" cy="19997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it_timeline_5652fd997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99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2. Assignment timeline and chronological split cutoff.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Construcción y conciliación de etiquetas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Campo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Valor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Final verdict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Validado - sin un ganador concluyente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Exact row-level reconciliation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Legacy audit reconciliation applicable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No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Audit counts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{"negative": 53, "positive": 61, "unknown": 13}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Phase 3 counts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{"negative": 53, "positive": 73, "unknown": 2}</w:t>
            </w:r>
          </w:p>
        </w:tc>
      </w:tr>
    </w:tbl>
    <w:p/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This run was generated by the current Phase 3.6 pipeline, so historical Phase 3.5 audit-count reconciliation is not required for validation.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Controles contra fuga de información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Chronological holdout keeps future assignments out of development data.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Feature timestamps are checked against assignment time to enforce past-only availability.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Feature missingness explanations in the stored review confirm that sparsity comes from history availability rather than identifier mismatch.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Esquema y salud de variables</w:t>
      </w:r>
    </w:p>
    <w:p>
      <w:r>
        <w:drawing>
          <wp:inline xmlns:a="http://schemas.openxmlformats.org/drawingml/2006/main" xmlns:pic="http://schemas.openxmlformats.org/drawingml/2006/picture">
            <wp:extent cx="5852160" cy="35225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missingness_5652fd997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22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3. Highest overall missingness rates from the stored feature audit.</w:t>
      </w:r>
    </w:p>
    <w:tbl>
      <w:tblPr>
        <w:tblW w:type="dxa" w:w="9676"/>
        <w:jc w:val="left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rHeight w:hRule="atLeast"/>
          <w:cantSplit/>
          <w:tblHeader w:val="true"/>
        </w:trPr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Feature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Source</w:t>
            </w:r>
          </w:p>
        </w:tc>
        <w:tc>
          <w:tcPr>
            <w:tcW w:type="dxa" w:w="11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Availability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Overall missing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Dev missing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Holdout missing</w:t>
            </w:r>
          </w:p>
        </w:tc>
        <w:tc>
          <w:tcPr>
            <w:tcW w:type="dxa" w:w="6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Included</w:t>
            </w:r>
          </w:p>
        </w:tc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Explanation</w:t>
            </w:r>
          </w:p>
        </w:tc>
      </w:tr>
      <w:tr>
        <w:trPr>
          <w:trHeight w:hRule="atLeast"/>
          <w:cantSplit/>
        </w:trPr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Prior Student Assignment Open Rate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Stored review</w:t>
            </w:r>
          </w:p>
        </w:tc>
        <w:tc>
          <w:tcPr>
            <w:tcW w:type="dxa" w:w="11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Past-only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31.25%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40.0%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0.0%</w:t>
            </w:r>
          </w:p>
        </w:tc>
        <w:tc>
          <w:tcPr>
            <w:tcW w:type="dxa" w:w="6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Sí</w:t>
            </w:r>
          </w:p>
        </w:tc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No identifier mismatch was found. Missing values are produced by the feature-construction rule that only uses strictly earlier mature history. For early assignments there is no mature prior history yet; resource-level sparsity is especially severe for prior_resource_open_rate.</w:t>
            </w:r>
          </w:p>
        </w:tc>
      </w:tr>
      <w:tr>
        <w:trPr>
          <w:trHeight w:hRule="atLeast"/>
          <w:cantSplit/>
        </w:trPr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Prior Teacher Assignment Open Rate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Stored review</w:t>
            </w:r>
          </w:p>
        </w:tc>
        <w:tc>
          <w:tcPr>
            <w:tcW w:type="dxa" w:w="11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Past-only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21.88%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28.0%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0.0%</w:t>
            </w:r>
          </w:p>
        </w:tc>
        <w:tc>
          <w:tcPr>
            <w:tcW w:type="dxa" w:w="6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Sí</w:t>
            </w:r>
          </w:p>
        </w:tc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No identifier mismatch was found. Missing values are produced by the feature-construction rule that only uses strictly earlier mature history. For early assignments there is no mature prior history yet; resource-level sparsity is especially severe for prior_resource_open_rate.</w:t>
            </w:r>
          </w:p>
        </w:tc>
      </w:tr>
      <w:tr>
        <w:trPr>
          <w:trHeight w:hRule="atLeast"/>
          <w:cantSplit/>
        </w:trPr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Prior Resource Open Rate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Stored review</w:t>
            </w:r>
          </w:p>
        </w:tc>
        <w:tc>
          <w:tcPr>
            <w:tcW w:type="dxa" w:w="11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Past-only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73.44%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70.0%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84.62%</w:t>
            </w:r>
          </w:p>
        </w:tc>
        <w:tc>
          <w:tcPr>
            <w:tcW w:type="dxa" w:w="6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Sí</w:t>
            </w:r>
          </w:p>
        </w:tc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No identifier mismatch was found. Missing values are produced by the feature-construction rule that only uses strictly earlier mature history. For early assignments there is no mature prior history yet; resource-level sparsity is especially severe for prior_resource_open_rate.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Tabla de salud de variables basada en la auditoría y la revisión almacenadas.</w:t>
      </w:r>
    </w:p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Pipelines de preprocesamiento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Missing values are imputed only when the stored evaluation pipeline marked the feature as retained.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Categorical features are encoded within the stored pipeline configuration; no report-time transformation modifies model outcomes.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Fully missing development-slice features are automatically excluded before fitting, as documented in the integrity review.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Corte cronológico y validación cruzada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Development rows: 100 with 60 positives.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Holdout rows: 26 with 13 positives.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Cross-validation fold counts and mean metrics are read directly from the stored model comparison artifact.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Configuraciones de modelo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cantSplit/>
          <w:tblHeader w:val="true"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Modelo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Status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Selected hyperparameters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Regla de clase mayoritaria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Éxito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Strategy: Majority Class Rule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Clasificador dummy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Éxito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Constant: n/a; Random State: n/a; Strategy: prior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Regresión logística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Éxito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C: 1.0; Class Weight: n/a; Dual: No; Fit Intercept: Yes; Intercept Scaling: 1; L1 Ratio: 0.0; Max Iter: 500; N Jobs: n/a; Penalty: deprecated; Random State: 20260716; Solver: lbfgs; Tol: 0.0001; Verbo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Regresión logística (reducida)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Éxito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C: 1.0; Class Weight: n/a; Dual: No; Fit Intercept: Yes; Intercept Scaling: 1; L1 Ratio: 0.0; Max Iter: 500; N Jobs: n/a; Penalty: deprecated; Random State: 20260716; Solver: lbfgs; Tol: 0.0001; Verbo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Clasificador de árbol de decisión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Éxito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Ccp Alpha: 0.0; Class Weight: n/a; Criterion: gini; Max Depth: 3; Max Features: n/a; Max Leaf Nodes: n/a; Min Impurity Decrease: 0.0; Min Samples Leaf: 4; Min Samples Split: 2; Min Weight Fraction Lea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Clasificador de bosque aleatorio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Éxito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Bootstrap: Yes; Ccp Alpha: 0.0; Class Weight: n/a; Criterion: gini; Max Depth: 4; Max Features: sqrt; Max Leaf Nodes: n/a; Max Samples: n/a; Min Impurity Decrease: 0.0; Min Samples Leaf: 3; Min Sample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Clasificador de boosting por gradiente en histogramas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Éxito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Categorical Features: From Dtype; Class Weight: n/a; Early Stopping: auto; Interaction Cst: n/a; L2 Regularization: 0.0; Learning Rate: 0.08; Loss: Log Loss; Max Bins: 255; Max Depth: 3; Max Features: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Clasificador de vectores de soporte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Éxito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C: 1.0; Break Ties: No; Cache Size: 200; Class Weight: n/a; Coef0: 0.0; Decision Function Shape: ovr; Degree: 3; Gamma: scale; Kernel: rbf; Max Iter: -1; Probability: Yes; Random State: 20260716; Shri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Clasificador de k vecinos más cercanos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Éxito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Algorithm: auto; Leaf Size: 30; Metric: minkowski; Metric Params: n/a; N Jobs: n/a; N Neighbors: 5; P: 2; Weights: distance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Resultados base y comparación</w:t>
      </w:r>
    </w:p>
    <w:p>
      <w:r>
        <w:drawing>
          <wp:inline xmlns:a="http://schemas.openxmlformats.org/drawingml/2006/main" xmlns:pic="http://schemas.openxmlformats.org/drawingml/2006/picture">
            <wp:extent cx="6035040" cy="36372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metrics_5652fd997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37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4. Model metric comparison snapshot using stored ROC AUC values.</w:t>
      </w:r>
    </w:p>
    <w:p>
      <w:r>
        <w:drawing>
          <wp:inline xmlns:a="http://schemas.openxmlformats.org/drawingml/2006/main" xmlns:pic="http://schemas.openxmlformats.org/drawingml/2006/picture">
            <wp:extent cx="6035040" cy="36489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5652fd997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48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5. Training-runtime comparison from stored model outputs.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Análisis de umbrales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Campo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Valor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Primary ROC leader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Clasificador de bosque aleatorio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Best thresholded classifier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Clasificador de bosque aleatorio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Calibration leader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Clasificador de bosque aleatorio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Best precision-recall ranking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Clasificador de bosque aleatorio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3383280" cy="32500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confusion_5652fd997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25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6. Confusion matrix for the stored baseline.</w:t>
      </w:r>
    </w:p>
    <w:p>
      <w:r>
        <w:drawing>
          <wp:inline xmlns:a="http://schemas.openxmlformats.org/drawingml/2006/main" xmlns:pic="http://schemas.openxmlformats.org/drawingml/2006/picture">
            <wp:extent cx="3383280" cy="30510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er_confusion_5652fd997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051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7. Confusion matrix for the primary ROC leader.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Análisis ROC</w:t>
      </w:r>
    </w:p>
    <w:p>
      <w:r>
        <w:drawing>
          <wp:inline xmlns:a="http://schemas.openxmlformats.org/drawingml/2006/main" xmlns:pic="http://schemas.openxmlformats.org/drawingml/2006/picture">
            <wp:extent cx="5852160" cy="38245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_5652fd997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24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9. ROC curves for score-capable stored models.</w:t>
      </w:r>
    </w:p>
    <w:p>
      <w:r>
        <w:rPr>
          <w:rFonts w:ascii="Arial" w:hAnsi="Arial"/>
          <w:b w:val="0"/>
          <w:i w:val="0"/>
          <w:color w:val="282828"/>
          <w:sz w:val="21"/>
        </w:rPr>
        <w:t>La comparación no estableció un ganador global estadísticamente robusto. Random Forest lideró varios criterios almacenados, pero el holdout pequeño y la muestra de un solo docente impiden una conclusión apta para producción.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Análisis precision-recall</w:t>
      </w:r>
    </w:p>
    <w:p>
      <w:r>
        <w:drawing>
          <wp:inline xmlns:a="http://schemas.openxmlformats.org/drawingml/2006/main" xmlns:pic="http://schemas.openxmlformats.org/drawingml/2006/picture">
            <wp:extent cx="5852160" cy="38245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_curves_5652fd997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24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10. Precision-recall curves for the same stored holdout predictions.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Análisis de calibración</w:t>
      </w:r>
    </w:p>
    <w:p>
      <w:r>
        <w:drawing>
          <wp:inline xmlns:a="http://schemas.openxmlformats.org/drawingml/2006/main" xmlns:pic="http://schemas.openxmlformats.org/drawingml/2006/picture">
            <wp:extent cx="5852160" cy="38245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curves_5652fd997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24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11. Calibration curves derived from stored probabilities.</w:t>
      </w:r>
    </w:p>
    <w:p>
      <w:r>
        <w:drawing>
          <wp:inline xmlns:a="http://schemas.openxmlformats.org/drawingml/2006/main" xmlns:pic="http://schemas.openxmlformats.org/drawingml/2006/picture">
            <wp:extent cx="5852160" cy="37371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ability_distribution_5652fd997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37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12. Predicted-probability distributions for the stored leader, threshold leader, and baseline.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Análisis de errores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False positives and false negatives can be inspected only through the stored anonymized holdout predictions; no raw user identifiers are exposed.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Subgroup sample sizes are too small for strong technical claims by topic, student-history bucket, or resource type, so subgroup interpretation should remain descriptive only.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The confusion matrices show that threshold choice changes the balance between misses and false alarms more than it changes the overall conclusion.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Incertidumbre e intervalos de confianza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Confidence intervals are read from the stored model comparison CSV.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Small holdout size and single-teacher coverage mean all uncertainty intervals should be interpreted conservatively.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Stored overall verdict: Validado - sin un ganador concluyente.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Rendimiento temporal y recursos</w:t>
      </w:r>
    </w:p>
    <w:p>
      <w:r>
        <w:rPr>
          <w:rFonts w:ascii="Arial" w:hAnsi="Arial"/>
          <w:b w:val="0"/>
          <w:i w:val="0"/>
          <w:color w:val="282828"/>
          <w:sz w:val="21"/>
        </w:rPr>
        <w:t>Training and inference durations are reported directly from the validated model comparison artifact and shown in Figure 5.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Resultados de la revisión de integridad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La revisión validada concluye que esta ejecución sirve como paquete de evidencia técnica, pero no como decisión de despliegue.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All intended models executed successfully in the validated run.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Artifact consistency checks confirmed shared run ID and data fingerprint across stored outputs.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Conclusiones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F6F8FB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F3A5F"/>
                <w:sz w:val="20"/>
              </w:rPr>
              <w:t>Interpretación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23232"/>
                <w:sz w:val="20"/>
              </w:rPr>
              <w:t>La comparación no estableció un ganador global estadísticamente robusto. Random Forest lideró varios criterios almacenados, pero el holdout pequeño y la muestra de un solo docente impiden una conclusión apta para producción.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Reproducibilidad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Run ID: 6443d064bc0c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Dataset fingerprint: 342d351fd7b81b6a0c14168336883de6eaee6596e4f9b14f84e3c1e5a7b292f8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Feature schema version: Assigned Resource Open 7d V1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This report was generated from stored artifacts only; it does not recompute training metrics independently.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Implicaciones de implementación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F6F8FB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F3A5F"/>
                <w:sz w:val="20"/>
              </w:rPr>
              <w:t>Interpretación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23232"/>
                <w:sz w:val="20"/>
              </w:rPr>
              <w:t>Recommendation: maintain current production logic, expand teacher coverage, and revisit only after broader validated evidence is available.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Limitaciones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No se registraron riesgos validados adicionales para esta ejecución.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Apéndice</w:t>
      </w:r>
    </w:p>
    <w:p>
      <w:pPr>
        <w:pStyle w:val="Heading2"/>
        <w:keepNext/>
        <w:spacing w:before="120" w:after="80"/>
      </w:pPr>
      <w:r>
        <w:rPr>
          <w:rFonts w:ascii="Arial" w:hAnsi="Arial"/>
          <w:b/>
          <w:i w:val="0"/>
          <w:color w:val="1F3A5F"/>
          <w:sz w:val="26"/>
        </w:rPr>
        <w:t>Manifiesto de artefactos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rHeight w:hRule="atLeast"/>
          <w:cantSplit/>
          <w:tblHeader w:val="true"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Artefacto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Propósito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Formato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Checksum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Disponibilidad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Dataset Summary JSON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Dataset accounting and counts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json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be3c86c6c1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Feature Audit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Feature availability audit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6292c9064a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Findings Interpretation Report Markdown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Findings interpretation markdown baseline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5d3fcba73d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Frozen Dataset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Stored supporting artifact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342d351fd7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Holdout Predictions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Stored holdout probabilities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56781ff543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Integrity Review Markdown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Stored supporting artifact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d2d720fafc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Label Audit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Stored supporting artifact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eae2a413ad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Label Reconciliation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Label reconciliation review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b4a70ee17b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Model Comparison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Stored model metrics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935861093f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Run Summary JSON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Validated run summary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json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7ebab89edc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Technical Report Markdown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Technical markdown baseline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2a2eb389f3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Manifiesto de artefactos del paquete técnico sin exponer rutas del repositorio.</w:t>
      </w:r>
    </w:p>
    <w:p/>
    <w:p>
      <w:r>
        <w:rPr>
          <w:rFonts w:ascii="Arial" w:hAnsi="Arial"/>
          <w:b w:val="0"/>
          <w:i w:val="0"/>
          <w:color w:val="5A626F"/>
          <w:sz w:val="21"/>
        </w:rPr>
        <w:t>Nombre almacenado: assigned_resource_open_7d_dataset_summary.json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assigned_resource_open_7d_feature_audit.csv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assigned_resource_open_7d_findings_interpretation_report.md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assigned_resource_open_7d_dataset_frozen.csv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assigned_resource_open_7d_holdout_predictions.csv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assigned_resource_open_7d_integrity_review.md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assigned_resource_open_7d_label_audit.csv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assigned_resource_open_7d_label_reconciliation.csv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assigned_resource_open_7d_model_comparison.csv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assigned_resource_open_7d_run_summary.json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assigned_resource_open_7d_technical_report.md</w:t>
      </w:r>
    </w:p>
    <w:p>
      <w:pPr>
        <w:sectPr>
          <w:headerReference w:type="default" r:id="rId9"/>
          <w:footerReference w:type="default" r:id="rId10"/>
          <w:pgSz w:w="12240" w:h="15840"/>
          <w:pgMar w:top="1152" w:right="1152" w:bottom="1080" w:left="1152" w:header="504" w:footer="504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Arial" w:hAnsi="Arial"/>
          <w:b/>
          <w:i w:val="0"/>
          <w:color w:val="1F3A5F"/>
          <w:sz w:val="26"/>
        </w:rPr>
        <w:t>Full model comparison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i w:val="0"/>
          <w:color w:val="17807E"/>
          <w:sz w:val="23"/>
        </w:rPr>
        <w:t>Discrimination and ranking</w:t>
      </w:r>
    </w:p>
    <w:tbl>
      <w:tblPr>
        <w:tblW w:type="dxa" w:w="11952"/>
        <w:jc w:val="left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tLeast"/>
          <w:cantSplit/>
          <w:tblHeader w:val="true"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Modelo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ROC AUC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Precisión media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Exactitud balanceada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F1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Delta vs dummy en ROC AUC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Regla de clase mayoritaria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0.7233416342111993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0.6666666666666666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dummy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0.7233416342111993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0.6666666666666666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Regresión logística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0.4911242603550296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0.4795688650213536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0.3846153846153846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-0.0088757396449704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Regresión logística (reducida)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0.6686390532544378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0.6500564328767473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0.5384615384615385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0.1686390532544378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árbol de decisión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0.5710059171597633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0.5491823869020821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0.4347826086956522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0.0710059171597633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bosque aleatorio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0.7751479289940828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0.8507264344722537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0.7307692307692308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0.7407407407407408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0.2751479289940828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boosting por gradiente en histogramas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0.5976331360946746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0.5608946850251199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0.6923076923076923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0.7142857142857142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0.0976331360946746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vectores de soporte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0.591715976331361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0.7418006269093227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0.5769230769230769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0.5925925925925927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0.0917159763313609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k vecinos más cercanos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0.6094674556213018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0.7267185670254724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0.5517241379310345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0.1094674556213017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Comparación legible de los modelos supervisados almacenados en la ejecución validada.</w:t>
      </w:r>
    </w:p>
    <w:p/>
    <w:p>
      <w:pPr>
        <w:pStyle w:val="Heading3"/>
        <w:keepNext/>
        <w:spacing w:before="120" w:after="80"/>
      </w:pPr>
      <w:r>
        <w:rPr>
          <w:rFonts w:ascii="Arial" w:hAnsi="Arial"/>
          <w:b/>
          <w:i w:val="0"/>
          <w:color w:val="17807E"/>
          <w:sz w:val="23"/>
        </w:rPr>
        <w:t>Calibration and thresholding</w:t>
      </w:r>
    </w:p>
    <w:tbl>
      <w:tblPr>
        <w:tblW w:type="dxa" w:w="12096"/>
        <w:jc w:val="left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tLeast"/>
          <w:cantSplit/>
          <w:tblHeader w:val="true"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Modelo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Pérdida logarítmica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Puntuación de Brier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Tasa positiva predicha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Mejor F1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Mejor exactitud balanceada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Regla de clase mayoritaria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0.713558177820073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0.26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1.0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0.6666666666666666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dummy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0.713558177820073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0.26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1.0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0.6666666666666666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Regresión logística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1.180388592324232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0.4011212271393161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0.2692307692307692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0.7096774193548387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0.6538461538461539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Regresión logística (reducida)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0.942149463018076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0.3231121058664956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0.1153846153846153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0.8125000000000001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0.7692307692307692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árbol de decisión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0.9636787885103064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0.3490541193853108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0.3846153846153846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0.6666666666666666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0.6923076923076923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bosque aleatorio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0.6113182513397637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0.2108542582106922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0.5384615384615384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0.6842105263157895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0.6923076923076923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boosting por gradiente en histogramas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0.7080518565629549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0.2527560426022929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0.5769230769230769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0.6842105263157895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0.576923076923077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vectores de soporte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0.7038006156870968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0.2538600452369084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0.5384615384615384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0.6666666666666666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0.7307692307692308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k vecinos más cercanos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0.6648033018425353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0.2504107988805867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0.6153846153846154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0.6842105263157895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0.6923076923076923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Comparación legible de los modelos supervisados almacenados en la ejecución validada.</w:t>
      </w:r>
    </w:p>
    <w:p/>
    <w:p>
      <w:pPr>
        <w:pStyle w:val="Heading3"/>
        <w:keepNext/>
        <w:spacing w:before="120" w:after="80"/>
      </w:pPr>
      <w:r>
        <w:rPr>
          <w:rFonts w:ascii="Arial" w:hAnsi="Arial"/>
          <w:b/>
          <w:i w:val="0"/>
          <w:color w:val="17807E"/>
          <w:sz w:val="23"/>
        </w:rPr>
        <w:t>Runtime and status</w:t>
      </w:r>
    </w:p>
    <w:tbl>
      <w:tblPr>
        <w:tblW w:type="dxa" w:w="13420"/>
        <w:jc w:val="left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tLeast"/>
          <w:cantSplit/>
          <w:tblHeader w:val="true"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Modelo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Estado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Media de la métrica principal en VC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Varianza de la métrica principal en VC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Duración de entrenamiento (s)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Duración de inferencia (s)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Regla de clase mayoritaria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Éxito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dummy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Éxito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0.0033306250115856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0.0028942920034751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Regresión logística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Éxito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0.5574314574314574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0.0157121826385895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0.0048363329842686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0.0017471669707447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Regresión logística (reducida)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Éxito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0.5773160173160173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0.0178323278132801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0.0035210829810239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0.0013319170102477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árbol de decisión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Éxito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0.4927272727272728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0.0002115702479338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0.0035026249825023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0.0016715000383555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bosque aleatorio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Éxito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0.5679942279942279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0.0265621242313882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0.0311319580068811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0.0037696660147048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boosting por gradiente en histogramas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Éxito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0.4985858585858586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0.0102559330680542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0.0538145420141518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0.0049604999949224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vectores de soporte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Éxito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0.5438095238095239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0.0167736619961728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0.0056184590212069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0.0020179160055704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Clasificador de k vecinos más cercanos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Éxito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0.5688600288600287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0.0078327900734827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0.0046799999545328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0.0021080410224385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Comparación legible de los modelos supervisados almacenados en la ejecución validada.</w:t>
      </w:r>
    </w:p>
    <w:p/>
    <w:sectPr w:rsidR="00FC693F" w:rsidRPr="0006063C" w:rsidSect="00034616">
      <w:headerReference w:type="default" r:id="rId22"/>
      <w:footerReference w:type="default" r:id="rId23"/>
      <w:pgSz w:w="15840" w:h="12240" w:orient="landscape"/>
      <w:pgMar w:top="936" w:right="1080" w:bottom="936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b w:val="0"/>
        <w:i w:val="0"/>
        <w:color w:val="5A626F"/>
        <w:sz w:val="16"/>
      </w:rPr>
      <w:t xml:space="preserve">Informe interno validado ·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b w:val="0"/>
        <w:i w:val="0"/>
        <w:color w:val="5A626F"/>
        <w:sz w:val="16"/>
      </w:rPr>
      <w:t xml:space="preserve">Informe interno validado ·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Arial" w:hAnsi="Arial"/>
        <w:b w:val="0"/>
        <w:i w:val="0"/>
        <w:color w:val="5A626F"/>
        <w:sz w:val="17"/>
      </w:rPr>
      <w:t>Classio · Informe Técnico de Ciencia de Datos · 6443d064bc0c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Arial" w:hAnsi="Arial"/>
        <w:b w:val="0"/>
        <w:i w:val="0"/>
        <w:color w:val="5A626F"/>
        <w:sz w:val="17"/>
      </w:rPr>
      <w:t>Classio · Informe Técnico de Ciencia de Datos · 6443d064bc0c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before="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7807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/>
      <w:b/>
      <w:i/>
      <w:iCs/>
      <w:color w:val="5A626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header" Target="header2.xml"/><Relationship Id="rId2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