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i w:val="0"/>
          <w:color w:val="B7791F"/>
          <w:sz w:val="23"/>
        </w:rPr>
        <w:t>Centro de Inteligencia Educativa de Classio</w:t>
      </w:r>
    </w:p>
    <w:p>
      <w:pPr>
        <w:spacing w:before="320" w:after="120"/>
        <w:jc w:val="center"/>
      </w:pPr>
      <w:r>
        <w:rPr>
          <w:rFonts w:ascii="Arial" w:hAnsi="Arial"/>
          <w:b/>
          <w:i w:val="0"/>
          <w:color w:val="1F3A5F"/>
          <w:sz w:val="48"/>
        </w:rPr>
        <w:t>Informe de experimento no supervisado</w:t>
      </w:r>
    </w:p>
    <w:p>
      <w:pPr>
        <w:spacing w:after="320"/>
        <w:jc w:val="center"/>
      </w:pPr>
      <w:r>
        <w:rPr>
          <w:rFonts w:ascii="Arial" w:hAnsi="Arial"/>
          <w:b w:val="0"/>
          <w:i w:val="0"/>
          <w:color w:val="5A626F"/>
          <w:sz w:val="22"/>
        </w:rPr>
        <w:t>Can Classio discover semantic relationships between educational resources without manual labels to improve recommendation candidates and similar-resource warnings?</w:t>
      </w:r>
    </w:p>
    <w:p>
      <w:pPr>
        <w:spacing w:after="320"/>
        <w:jc w:val="center"/>
      </w:pPr>
      <w:r>
        <w:rPr>
          <w:rFonts w:ascii="Arial" w:hAnsi="Arial"/>
          <w:b/>
          <w:i w:val="0"/>
          <w:color w:val="17807E"/>
          <w:sz w:val="21"/>
        </w:rPr>
        <w:t>Estado de validación: Ejecución exploratoria validada</w:t>
      </w:r>
    </w:p>
    <w:p>
      <w:pPr>
        <w:spacing w:after="80"/>
        <w:jc w:val="center"/>
      </w:pPr>
      <w:r>
        <w:rPr>
          <w:rFonts w:ascii="Arial" w:hAnsi="Arial"/>
          <w:b w:val="0"/>
          <w:i w:val="0"/>
          <w:color w:val="5A626F"/>
          <w:sz w:val="20"/>
        </w:rPr>
        <w:t>Generado el 28/07/2026 17:16</w:t>
      </w:r>
    </w:p>
    <w:p>
      <w:pPr>
        <w:spacing w:after="80"/>
        <w:jc w:val="center"/>
      </w:pPr>
      <w:r>
        <w:rPr>
          <w:rFonts w:ascii="Arial" w:hAnsi="Arial"/>
          <w:b w:val="0"/>
          <w:i w:val="0"/>
          <w:color w:val="5A626F"/>
          <w:sz w:val="20"/>
        </w:rPr>
        <w:t>Ejecución validada: 7eb07981b28f</w:t>
      </w:r>
    </w:p>
    <w:p>
      <w:pPr>
        <w:spacing w:after="80"/>
        <w:jc w:val="center"/>
      </w:pPr>
      <w:r>
        <w:rPr>
          <w:rFonts w:ascii="Arial" w:hAnsi="Arial"/>
          <w:b w:val="0"/>
          <w:i w:val="0"/>
          <w:color w:val="5A626F"/>
          <w:sz w:val="20"/>
        </w:rPr>
        <w:t>Huella del conjunto de datos: 579c6ec47c16...</w:t>
      </w:r>
    </w:p>
    <w:p>
      <w:r>
        <w:br w:type="page"/>
      </w:r>
    </w:p>
    <w:p>
      <w:pPr>
        <w:pStyle w:val="Heading1"/>
        <w:keepNext/>
        <w:spacing w:before="200" w:after="80"/>
      </w:pPr>
      <w:r>
        <w:rPr>
          <w:rFonts w:ascii="Arial" w:hAnsi="Arial"/>
          <w:b/>
          <w:i w:val="0"/>
          <w:color w:val="1F3A5F"/>
          <w:sz w:val="32"/>
        </w:rPr>
        <w:t>Planteamiento de la solución</w:t>
      </w:r>
    </w:p>
    <w:p>
      <w:r>
        <w:rPr>
          <w:rFonts w:ascii="Arial" w:hAnsi="Arial"/>
          <w:b w:val="0"/>
          <w:i w:val="0"/>
          <w:color w:val="282828"/>
          <w:sz w:val="21"/>
        </w:rPr>
        <w:t>¿Puede Classio descubrir relaciones semánticas entre recursos educativos sin etiquetas manuales para mejorar candidatos de recomendación y avisos de recursos similares?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Problema de negocio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¿Es capaz Classio de identificar relaciones semánticas entre recursos educativos sin recurrir a etiquetas manuales, con el fin de enriquecer los candidatos de recomendación y las alertas de recursos similares?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apoyada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Determinar si el descubrimiento no supervisado de afinidad entre recursos resulta lo suficientemente fiable como para ampliar los candidatos de recomendación y los avisos previos a la generación en modo sombra.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Objetivo SMART</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Un modelo de clustering que supere en calidad de silueta y genere agrupaciones de vecinos semánticamente útiles, validadas mediante revisión humana.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 esperado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Identificar recursos vinculados por su significado intrínseco, más allá de la coincidencia literal de temas o etiquetas manuales.</w:t>
            </w:r>
          </w:p>
        </w:tc>
      </w:tr>
    </w:tbl>
    <w:p/>
    <w:p>
      <w:pPr>
        <w:pStyle w:val="Heading1"/>
        <w:keepNext/>
        <w:spacing w:before="200" w:after="80"/>
      </w:pPr>
      <w:r>
        <w:rPr>
          <w:rFonts w:ascii="Arial" w:hAnsi="Arial"/>
          <w:b/>
          <w:i w:val="0"/>
          <w:color w:val="1F3A5F"/>
          <w:sz w:val="32"/>
        </w:rPr>
        <w:t>Desarrollo del modelo</w:t>
      </w:r>
    </w:p>
    <w:p>
      <w:r>
        <w:rPr>
          <w:rFonts w:ascii="Arial" w:hAnsi="Arial"/>
          <w:b w:val="0"/>
          <w:i w:val="0"/>
          <w:color w:val="282828"/>
          <w:sz w:val="21"/>
        </w:rPr>
        <w:t>Este experimento usa perfiles canónicos de recursos y algoritmos no supervisados para descubrir clústeres y vecinos semánticos sin construir etiquetas positivas/negativas.</w:t>
      </w:r>
    </w:p>
    <w:p>
      <w:r>
        <w:drawing>
          <wp:inline xmlns:a="http://schemas.openxmlformats.org/drawingml/2006/main" xmlns:pic="http://schemas.openxmlformats.org/drawingml/2006/picture">
            <wp:extent cx="5943600" cy="3589020"/>
            <wp:docPr id="1" name="Picture 1"/>
            <wp:cNvGraphicFramePr>
              <a:graphicFrameLocks noChangeAspect="1"/>
            </wp:cNvGraphicFramePr>
            <a:graphic>
              <a:graphicData uri="http://schemas.openxmlformats.org/drawingml/2006/picture">
                <pic:pic>
                  <pic:nvPicPr>
                    <pic:cNvPr id="0" name="unsupervised_model_quality_096aa273fe.png"/>
                    <pic:cNvPicPr/>
                  </pic:nvPicPr>
                  <pic:blipFill>
                    <a:blip r:embed="rId11"/>
                    <a:stretch>
                      <a:fillRect/>
                    </a:stretch>
                  </pic:blipFill>
                  <pic:spPr>
                    <a:xfrm>
                      <a:off x="0" y="0"/>
                      <a:ext cx="5943600" cy="3589020"/>
                    </a:xfrm>
                    <a:prstGeom prst="rect"/>
                  </pic:spPr>
                </pic:pic>
              </a:graphicData>
            </a:graphic>
          </wp:inline>
        </w:drawing>
      </w:r>
    </w:p>
    <w:p>
      <w:pPr>
        <w:spacing w:before="20" w:after="160"/>
      </w:pPr>
      <w:r>
        <w:rPr>
          <w:rFonts w:ascii="Arial" w:hAnsi="Arial"/>
          <w:b w:val="0"/>
          <w:i/>
          <w:color w:val="5A626F"/>
          <w:sz w:val="17"/>
        </w:rPr>
        <w:t>Figura 1. Ranking de modelos por Silhouette Score; barras más altas indican mayor coherencia interna de los clústeres.</w:t>
      </w:r>
    </w:p>
    <w:p>
      <w:r>
        <w:drawing>
          <wp:inline xmlns:a="http://schemas.openxmlformats.org/drawingml/2006/main" xmlns:pic="http://schemas.openxmlformats.org/drawingml/2006/picture">
            <wp:extent cx="5943600" cy="3916679"/>
            <wp:docPr id="2" name="Picture 2"/>
            <wp:cNvGraphicFramePr>
              <a:graphicFrameLocks noChangeAspect="1"/>
            </wp:cNvGraphicFramePr>
            <a:graphic>
              <a:graphicData uri="http://schemas.openxmlformats.org/drawingml/2006/picture">
                <pic:pic>
                  <pic:nvPicPr>
                    <pic:cNvPr id="0" name="unsupervised_quality_tradeoff_096aa273fe.png"/>
                    <pic:cNvPicPr/>
                  </pic:nvPicPr>
                  <pic:blipFill>
                    <a:blip r:embed="rId12"/>
                    <a:stretch>
                      <a:fillRect/>
                    </a:stretch>
                  </pic:blipFill>
                  <pic:spPr>
                    <a:xfrm>
                      <a:off x="0" y="0"/>
                      <a:ext cx="5943600" cy="3916679"/>
                    </a:xfrm>
                    <a:prstGeom prst="rect"/>
                  </pic:spPr>
                </pic:pic>
              </a:graphicData>
            </a:graphic>
          </wp:inline>
        </w:drawing>
      </w:r>
    </w:p>
    <w:p>
      <w:pPr>
        <w:spacing w:before="20" w:after="160"/>
      </w:pPr>
      <w:r>
        <w:rPr>
          <w:rFonts w:ascii="Arial" w:hAnsi="Arial"/>
          <w:b w:val="0"/>
          <w:i/>
          <w:color w:val="5A626F"/>
          <w:sz w:val="17"/>
        </w:rPr>
        <w:t>Figura 2. Trade-off entre calidad y contaminación: el ganador debe combinar alto Silhouette con baja mezcla entre materias.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 modelo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DBSCAN eps=0.32 min_samples=2</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 principal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silhouette_score</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0.7517</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Calinski-Harabasz</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13.6833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Davies-Bouldin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0.7063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Clústeres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57</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Proporción de ruido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0.1658</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0.0526</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idiomas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incluidos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193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Tipos de recurso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n/a</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Método vectorial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Truncated Svd</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Dimensiones vectoriales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64</w:t>
            </w:r>
          </w:p>
        </w:tc>
      </w:tr>
    </w:tbl>
    <w:p/>
    <w:p>
      <w:pPr>
        <w:pStyle w:val="Heading2"/>
        <w:keepNext/>
        <w:spacing w:before="120" w:after="80"/>
      </w:pPr>
      <w:r>
        <w:rPr>
          <w:rFonts w:ascii="Arial" w:hAnsi="Arial"/>
          <w:b/>
          <w:i w:val="0"/>
          <w:color w:val="1F3A5F"/>
          <w:sz w:val="26"/>
        </w:rPr>
        <w:t>Visualización de clústeres</w:t>
      </w:r>
    </w:p>
    <w:p>
      <w:r>
        <w:drawing>
          <wp:inline xmlns:a="http://schemas.openxmlformats.org/drawingml/2006/main" xmlns:pic="http://schemas.openxmlformats.org/drawingml/2006/picture">
            <wp:extent cx="5943600" cy="4084319"/>
            <wp:docPr id="3" name="Picture 3"/>
            <wp:cNvGraphicFramePr>
              <a:graphicFrameLocks noChangeAspect="1"/>
            </wp:cNvGraphicFramePr>
            <a:graphic>
              <a:graphicData uri="http://schemas.openxmlformats.org/drawingml/2006/picture">
                <pic:pic>
                  <pic:nvPicPr>
                    <pic:cNvPr id="0" name="unsupervised_cluster_projection_096aa273fe.png"/>
                    <pic:cNvPicPr/>
                  </pic:nvPicPr>
                  <pic:blipFill>
                    <a:blip r:embed="rId13"/>
                    <a:stretch>
                      <a:fillRect/>
                    </a:stretch>
                  </pic:blipFill>
                  <pic:spPr>
                    <a:xfrm>
                      <a:off x="0" y="0"/>
                      <a:ext cx="5943600" cy="4084319"/>
                    </a:xfrm>
                    <a:prstGeom prst="rect"/>
                  </pic:spPr>
                </pic:pic>
              </a:graphicData>
            </a:graphic>
          </wp:inline>
        </w:drawing>
      </w:r>
    </w:p>
    <w:p>
      <w:pPr>
        <w:spacing w:before="20" w:after="160"/>
      </w:pPr>
      <w:r>
        <w:rPr>
          <w:rFonts w:ascii="Arial" w:hAnsi="Arial"/>
          <w:b w:val="0"/>
          <w:i/>
          <w:color w:val="5A626F"/>
          <w:sz w:val="17"/>
        </w:rPr>
        <w:t>Figura 3. Proyección 2D reproducible de los perfiles de recursos; las X marcan centroides aproximados de los clústeres principales y los puntos grises son ruido/otros clústeres.</w:t>
      </w:r>
    </w:p>
    <w:p>
      <w:r>
        <w:drawing>
          <wp:inline xmlns:a="http://schemas.openxmlformats.org/drawingml/2006/main" xmlns:pic="http://schemas.openxmlformats.org/drawingml/2006/picture">
            <wp:extent cx="5669280" cy="3423373"/>
            <wp:docPr id="4" name="Picture 4"/>
            <wp:cNvGraphicFramePr>
              <a:graphicFrameLocks noChangeAspect="1"/>
            </wp:cNvGraphicFramePr>
            <a:graphic>
              <a:graphicData uri="http://schemas.openxmlformats.org/drawingml/2006/picture">
                <pic:pic>
                  <pic:nvPicPr>
                    <pic:cNvPr id="0" name="unsupervised_cluster_sizes_096aa273fe.png"/>
                    <pic:cNvPicPr/>
                  </pic:nvPicPr>
                  <pic:blipFill>
                    <a:blip r:embed="rId14"/>
                    <a:stretch>
                      <a:fillRect/>
                    </a:stretch>
                  </pic:blipFill>
                  <pic:spPr>
                    <a:xfrm>
                      <a:off x="0" y="0"/>
                      <a:ext cx="5669280" cy="3423373"/>
                    </a:xfrm>
                    <a:prstGeom prst="rect"/>
                  </pic:spPr>
                </pic:pic>
              </a:graphicData>
            </a:graphic>
          </wp:inline>
        </w:drawing>
      </w:r>
    </w:p>
    <w:p>
      <w:pPr>
        <w:spacing w:before="20" w:after="160"/>
      </w:pPr>
      <w:r>
        <w:rPr>
          <w:rFonts w:ascii="Arial" w:hAnsi="Arial"/>
          <w:b w:val="0"/>
          <w:i/>
          <w:color w:val="5A626F"/>
          <w:sz w:val="17"/>
        </w:rPr>
        <w:t>Figura 4. Tamaños de los clústeres principales del modelo ganador; ayuda a detectar clústeres dominantes o demasiado fragmentados.</w:t>
      </w:r>
    </w:p>
    <w:p>
      <w:pPr>
        <w:pStyle w:val="Heading1"/>
        <w:keepNext/>
        <w:spacing w:before="200" w:after="80"/>
      </w:pPr>
      <w:r>
        <w:rPr>
          <w:rFonts w:ascii="Arial" w:hAnsi="Arial"/>
          <w:b/>
          <w:i w:val="0"/>
          <w:color w:val="1F3A5F"/>
          <w:sz w:val="32"/>
        </w:rPr>
        <w:t>Conclusiones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Los resultados indican que el clustering no supervisado puede agrupar recursos por afinidad semántica, pero la ausencia de etiquetas de preferencia de usuarios impide afirmar que dichos grupos mejoren la efectividad de recomendaciones. Por ello, el experimento se considera candidato para pruebas en sombra, no para despliegue directo.</w:t>
            </w:r>
          </w:p>
        </w:tc>
      </w:tr>
    </w:tbl>
    <w:p/>
    <w:p>
      <w:pPr>
        <w:pStyle w:val="Heading2"/>
        <w:keepNext/>
        <w:spacing w:before="120" w:after="80"/>
      </w:pPr>
      <w:r>
        <w:rPr>
          <w:rFonts w:ascii="Arial" w:hAnsi="Arial"/>
          <w:b/>
          <w:i w:val="0"/>
          <w:color w:val="1F3A5F"/>
          <w:sz w:val="26"/>
        </w:rPr>
        <w:t>Limitaciones</w:t>
      </w:r>
    </w:p>
    <w:p>
      <w:pPr>
        <w:pStyle w:val="ListBullet"/>
        <w:spacing w:after="80"/>
      </w:pPr>
      <w:r>
        <w:rPr>
          <w:rFonts w:ascii="Arial" w:hAnsi="Arial"/>
          <w:b w:val="0"/>
          <w:i w:val="0"/>
          <w:color w:val="282828"/>
          <w:sz w:val="20"/>
        </w:rPr>
        <w:t>No human-labeled semantic relevance labels are used in this unsupervised phase.</w:t>
      </w:r>
    </w:p>
    <w:p>
      <w:pPr>
        <w:pStyle w:val="ListBullet"/>
        <w:spacing w:after="80"/>
      </w:pPr>
      <w:r>
        <w:rPr>
          <w:rFonts w:ascii="Arial" w:hAnsi="Arial"/>
          <w:b w:val="0"/>
          <w:i w:val="0"/>
          <w:color w:val="282828"/>
          <w:sz w:val="20"/>
        </w:rPr>
        <w:t>Small or imbalanced resource catalogs can make clustering metrics unstable.</w:t>
      </w:r>
    </w:p>
    <w:p>
      <w:pPr>
        <w:pStyle w:val="ListBullet"/>
        <w:spacing w:after="80"/>
      </w:pPr>
      <w:r>
        <w:rPr>
          <w:rFonts w:ascii="Arial" w:hAnsi="Arial"/>
          <w:b w:val="0"/>
          <w:i w:val="0"/>
          <w:color w:val="282828"/>
          <w:sz w:val="20"/>
        </w:rPr>
        <w:t>Business rules must still filter by subject, language, teacher, student, level, and archive state.</w:t>
      </w:r>
    </w:p>
    <w:p>
      <w:pPr>
        <w:pStyle w:val="Heading1"/>
        <w:keepNext/>
        <w:spacing w:before="200" w:after="80"/>
      </w:pPr>
      <w:r>
        <w:rPr>
          <w:rFonts w:ascii="Arial" w:hAnsi="Arial"/>
          <w:b/>
          <w:i w:val="0"/>
          <w:color w:val="1F3A5F"/>
          <w:sz w:val="32"/>
        </w:rPr>
        <w:t>Apéndice</w:t>
      </w:r>
    </w:p>
    <w:p>
      <w:pPr>
        <w:pStyle w:val="Heading2"/>
        <w:keepNext/>
        <w:spacing w:before="120" w:after="80"/>
      </w:pPr>
      <w:r>
        <w:rPr>
          <w:rFonts w:ascii="Arial" w:hAnsi="Arial"/>
          <w:b/>
          <w:i w:val="0"/>
          <w:color w:val="1F3A5F"/>
          <w:sz w:val="26"/>
        </w:rPr>
        <w:t>Manifiesto de artefactos</w:t>
      </w:r>
    </w:p>
    <w:tbl>
      <w:tblPr>
        <w:tblW w:type="dxa" w:w="9648"/>
        <w:jc w:val="left"/>
        <w:tblLayout w:type="fixed"/>
        <w:tblLook w:firstColumn="1" w:firstRow="1" w:lastColumn="0" w:lastRow="0" w:noHBand="0" w:noVBand="1" w:val="04A0"/>
      </w:tblPr>
      <w:tblGrid>
        <w:gridCol w:w="1987"/>
        <w:gridCol w:w="1987"/>
        <w:gridCol w:w="1987"/>
        <w:gridCol w:w="1987"/>
        <w:gridCol w:w="1987"/>
      </w:tblGrid>
      <w:tr>
        <w:trPr>
          <w:trHeight w:hRule="atLeast"/>
          <w:cantSplit/>
          <w:tblHeader w:val="true"/>
        </w:trPr>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Artefacto</w:t>
            </w:r>
          </w:p>
        </w:tc>
        <w:tc>
          <w:tcPr>
            <w:tcW w:type="dxa" w:w="360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Propósito</w:t>
            </w:r>
          </w:p>
        </w:tc>
        <w:tc>
          <w:tcPr>
            <w:tcW w:type="dxa" w:w="100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Formato</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Checksum</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Disponibilidad</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Cluster Assignments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Asignaciones de clúster del modelo ganador</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876780809a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Contabilidad y conteos del conjunto de datos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8e91350e4d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Auditoría de disponibilidad de variables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40312e3845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de interpretación de hallazgos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df8668689e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Frozen Dataset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22848bb4ad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Holdout Predictions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Probabilidades holdout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2ed388ec21</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 Review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7765ee59bb</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ba9f31f21d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Reconciliation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Revisión de conciliación de etiquetas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34e58946d5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Comparison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Métricas de modelo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b12f762994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Resumen de ejecución validada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02abbd4171</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técnica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b302d40e78</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bl>
    <w:p>
      <w:pPr>
        <w:spacing w:before="20" w:after="160"/>
      </w:pPr>
      <w:r>
        <w:rPr>
          <w:rFonts w:ascii="Arial" w:hAnsi="Arial"/>
          <w:b w:val="0"/>
          <w:i/>
          <w:color w:val="5A626F"/>
          <w:sz w:val="17"/>
        </w:rPr>
        <w:t>Manifiesto de artefactos del paquete técnico sin exponer rutas del repositorio.</w:t>
      </w:r>
    </w:p>
    <w:p/>
    <w:p>
      <w:r>
        <w:rPr>
          <w:rFonts w:ascii="Arial" w:hAnsi="Arial"/>
          <w:b w:val="0"/>
          <w:i w:val="0"/>
          <w:color w:val="5A626F"/>
          <w:sz w:val="21"/>
        </w:rPr>
        <w:t>Nombre almacenado: resource_affinity_cluster_assignments.csv</w:t>
      </w:r>
    </w:p>
    <w:p>
      <w:r>
        <w:rPr>
          <w:rFonts w:ascii="Arial" w:hAnsi="Arial"/>
          <w:b w:val="0"/>
          <w:i w:val="0"/>
          <w:color w:val="5A626F"/>
          <w:sz w:val="21"/>
        </w:rPr>
        <w:t>Nombre almacenado: resource_affinity_dataset_summary.json</w:t>
      </w:r>
    </w:p>
    <w:p>
      <w:r>
        <w:rPr>
          <w:rFonts w:ascii="Arial" w:hAnsi="Arial"/>
          <w:b w:val="0"/>
          <w:i w:val="0"/>
          <w:color w:val="5A626F"/>
          <w:sz w:val="21"/>
        </w:rPr>
        <w:t>Nombre almacenado: resource_affinity_feature_audit.csv</w:t>
      </w:r>
    </w:p>
    <w:p>
      <w:r>
        <w:rPr>
          <w:rFonts w:ascii="Arial" w:hAnsi="Arial"/>
          <w:b w:val="0"/>
          <w:i w:val="0"/>
          <w:color w:val="5A626F"/>
          <w:sz w:val="21"/>
        </w:rPr>
        <w:t>Nombre almacenado: resource_affinity_findings_interpretation_report.md</w:t>
      </w:r>
    </w:p>
    <w:p>
      <w:r>
        <w:rPr>
          <w:rFonts w:ascii="Arial" w:hAnsi="Arial"/>
          <w:b w:val="0"/>
          <w:i w:val="0"/>
          <w:color w:val="5A626F"/>
          <w:sz w:val="21"/>
        </w:rPr>
        <w:t>Nombre almacenado: resource_affinity_dataset_frozen.csv</w:t>
      </w:r>
    </w:p>
    <w:p>
      <w:r>
        <w:rPr>
          <w:rFonts w:ascii="Arial" w:hAnsi="Arial"/>
          <w:b w:val="0"/>
          <w:i w:val="0"/>
          <w:color w:val="5A626F"/>
          <w:sz w:val="21"/>
        </w:rPr>
        <w:t>Nombre almacenado: resource_affinity_pairwise_neighbors.csv</w:t>
      </w:r>
    </w:p>
    <w:p>
      <w:r>
        <w:rPr>
          <w:rFonts w:ascii="Arial" w:hAnsi="Arial"/>
          <w:b w:val="0"/>
          <w:i w:val="0"/>
          <w:color w:val="5A626F"/>
          <w:sz w:val="21"/>
        </w:rPr>
        <w:t>Nombre almacenado: resource_affinity_integrity_review.md</w:t>
      </w:r>
    </w:p>
    <w:p>
      <w:r>
        <w:rPr>
          <w:rFonts w:ascii="Arial" w:hAnsi="Arial"/>
          <w:b w:val="0"/>
          <w:i w:val="0"/>
          <w:color w:val="5A626F"/>
          <w:sz w:val="21"/>
        </w:rPr>
        <w:t>Nombre almacenado: resource_affinity_profile_audit.csv</w:t>
      </w:r>
    </w:p>
    <w:p>
      <w:r>
        <w:rPr>
          <w:rFonts w:ascii="Arial" w:hAnsi="Arial"/>
          <w:b w:val="0"/>
          <w:i w:val="0"/>
          <w:color w:val="5A626F"/>
          <w:sz w:val="21"/>
        </w:rPr>
        <w:t>Nombre almacenado: resource_affinity_reconciliation.csv</w:t>
      </w:r>
    </w:p>
    <w:p>
      <w:r>
        <w:rPr>
          <w:rFonts w:ascii="Arial" w:hAnsi="Arial"/>
          <w:b w:val="0"/>
          <w:i w:val="0"/>
          <w:color w:val="5A626F"/>
          <w:sz w:val="21"/>
        </w:rPr>
        <w:t>Nombre almacenado: resource_affinity_model_comparison.csv</w:t>
      </w:r>
    </w:p>
    <w:p>
      <w:r>
        <w:rPr>
          <w:rFonts w:ascii="Arial" w:hAnsi="Arial"/>
          <w:b w:val="0"/>
          <w:i w:val="0"/>
          <w:color w:val="5A626F"/>
          <w:sz w:val="21"/>
        </w:rPr>
        <w:t>Nombre almacenado: resource_affinity_run_summary.json</w:t>
      </w:r>
    </w:p>
    <w:p>
      <w:r>
        <w:rPr>
          <w:rFonts w:ascii="Arial" w:hAnsi="Arial"/>
          <w:b w:val="0"/>
          <w:i w:val="0"/>
          <w:color w:val="5A626F"/>
          <w:sz w:val="21"/>
        </w:rPr>
        <w:t>Nombre almacenado: resource_affinity_technical_report.md</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Informe interno validado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Informe de experimento no supervisado · 7eb07981b28f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8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b/>
      <w:i/>
      <w:iCs/>
      <w:color w:val="5A62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