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Arial" w:hAnsi="Arial"/>
          <w:b/>
          <w:i w:val="0"/>
          <w:color w:val="B7791F"/>
          <w:sz w:val="23"/>
        </w:rPr>
        <w:t>Classio Educational Intelligence Center</w:t>
      </w:r>
    </w:p>
    <w:p>
      <w:pPr>
        <w:spacing w:before="320" w:after="120"/>
        <w:jc w:val="center"/>
      </w:pPr>
      <w:r>
        <w:rPr>
          <w:rFonts w:ascii="Arial" w:hAnsi="Arial"/>
          <w:b/>
          <w:i w:val="0"/>
          <w:color w:val="1F3A5F"/>
          <w:sz w:val="48"/>
        </w:rPr>
        <w:t>Technical Data Science Report</w:t>
      </w:r>
    </w:p>
    <w:p>
      <w:pPr>
        <w:spacing w:after="320"/>
        <w:jc w:val="center"/>
      </w:pPr>
      <w:r>
        <w:rPr>
          <w:rFonts w:ascii="Arial" w:hAnsi="Arial"/>
          <w:b w:val="0"/>
          <w:i w:val="0"/>
          <w:color w:val="5A626F"/>
          <w:sz w:val="22"/>
        </w:rPr>
        <w:t>Technical validation package for authorized internal reviewers.</w:t>
      </w:r>
    </w:p>
    <w:p>
      <w:pPr>
        <w:spacing w:after="320"/>
        <w:jc w:val="center"/>
      </w:pPr>
      <w:r>
        <w:rPr>
          <w:rFonts w:ascii="Arial" w:hAnsi="Arial"/>
          <w:b/>
          <w:i w:val="0"/>
          <w:color w:val="17807E"/>
          <w:sz w:val="21"/>
        </w:rPr>
        <w:t>Validation status: Validated - no robust winner</w:t>
      </w:r>
    </w:p>
    <w:p>
      <w:pPr>
        <w:spacing w:after="80"/>
        <w:jc w:val="center"/>
      </w:pPr>
      <w:r>
        <w:rPr>
          <w:rFonts w:ascii="Arial" w:hAnsi="Arial"/>
          <w:b w:val="0"/>
          <w:i w:val="0"/>
          <w:color w:val="5A626F"/>
          <w:sz w:val="20"/>
        </w:rPr>
        <w:t>Generated on 2026-07-20 10:19</w:t>
      </w:r>
    </w:p>
    <w:p>
      <w:pPr>
        <w:spacing w:after="80"/>
        <w:jc w:val="center"/>
      </w:pPr>
      <w:r>
        <w:rPr>
          <w:rFonts w:ascii="Arial" w:hAnsi="Arial"/>
          <w:b w:val="0"/>
          <w:i w:val="0"/>
          <w:color w:val="5A626F"/>
          <w:sz w:val="20"/>
        </w:rPr>
        <w:t>Validated run: ebcf382089d2</w:t>
      </w:r>
    </w:p>
    <w:p>
      <w:pPr>
        <w:spacing w:after="80"/>
        <w:jc w:val="center"/>
      </w:pPr>
      <w:r>
        <w:rPr>
          <w:rFonts w:ascii="Arial" w:hAnsi="Arial"/>
          <w:b w:val="0"/>
          <w:i w:val="0"/>
          <w:color w:val="5A626F"/>
          <w:sz w:val="20"/>
        </w:rPr>
        <w:t>Dataset fingerprint: 6725ffb449de...</w:t>
      </w:r>
    </w:p>
    <w:p>
      <w:r>
        <w:br w:type="page"/>
      </w:r>
    </w:p>
    <w:p>
      <w:pPr>
        <w:pStyle w:val="Heading1"/>
        <w:keepNext/>
        <w:spacing w:before="200" w:after="80"/>
      </w:pPr>
      <w:r>
        <w:rPr>
          <w:rFonts w:ascii="Arial" w:hAnsi="Arial"/>
          <w:b/>
          <w:i w:val="0"/>
          <w:color w:val="1F3A5F"/>
          <w:sz w:val="32"/>
        </w:rPr>
        <w:t>Decision Summary</w:t>
      </w:r>
    </w:p>
    <w:tbl>
      <w:tblPr>
        <w:tblW w:type="dxa" w:w="9647"/>
        <w:jc w:val="left"/>
        <w:tblLayout w:type="fixed"/>
        <w:tblLook w:firstColumn="1" w:firstRow="1" w:lastColumn="0" w:lastRow="0" w:noHBand="0" w:noVBand="1" w:val="04A0"/>
      </w:tblPr>
      <w:tblGrid>
        <w:gridCol w:w="4968"/>
        <w:gridCol w:w="4968"/>
      </w:tblGrid>
      <w:tr>
        <w:trPr>
          <w:trHeight w:hRule="atLeast"/>
          <w:cantSplit/>
          <w:tblHeader w:val="true"/>
        </w:trPr>
        <w:tc>
          <w:tcPr>
            <w:tcW w:type="dxa" w:w="3456"/>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Field</w:t>
            </w:r>
          </w:p>
        </w:tc>
        <w:tc>
          <w:tcPr>
            <w:tcW w:type="dxa" w:w="6192"/>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Value</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Experiment</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assigned_resource_open_within_7d</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Business problem</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Teachers frequently assign resources that students ignore. If Classio can predict ignored assignments before they occur, the platform can recommend alternative resources or suggest teacher intervention. The core question is whether Classio can predict if a student will open an assigned resource within seven days of assignment.</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Decision supported</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Improve the teacher recommendation system.</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Current evidence status</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Validated evidence</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Robust winner</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No</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Model leader</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Random forest classifier</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Next review trigger</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When teacher usage of the application increases.</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Responsible person or team</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Anthony Gonzalez</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Main limitation</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The dataset is currently constrained by the participation of only a single teacher.</w:t>
            </w:r>
          </w:p>
        </w:tc>
      </w:tr>
    </w:tbl>
    <w:p/>
    <w:tbl>
      <w:tblPr>
        <w:tblW w:type="dxa" w:w="9648"/>
        <w:jc w:val="left"/>
        <w:tblLayout w:type="fixed"/>
        <w:tblLook w:firstColumn="1" w:firstRow="1" w:lastColumn="0" w:lastRow="0" w:noHBand="0" w:noVBand="1" w:val="04A0"/>
      </w:tblPr>
      <w:tblGrid>
        <w:gridCol w:w="9936"/>
      </w:tblGrid>
      <w:tr>
        <w:tc>
          <w:tcPr>
            <w:tcW w:type="dxa" w:w="9648"/>
            <w:shd w:fill="F6F8FB"/>
            <w:tcMar>
              <w:top w:w="110" w:type="dxa"/>
              <w:bottom w:w="110" w:type="dxa"/>
              <w:left w:w="140" w:type="dxa"/>
              <w:right w:w="140" w:type="dxa"/>
            </w:tcMar>
          </w:tcPr>
          <w:p>
            <w:pPr>
              <w:spacing w:after="40"/>
            </w:pPr>
            <w:r>
              <w:rPr>
                <w:rFonts w:ascii="Arial" w:hAnsi="Arial"/>
                <w:b/>
                <w:i w:val="0"/>
                <w:color w:val="1F3A5F"/>
                <w:sz w:val="20"/>
              </w:rPr>
              <w:t>Interpretation</w:t>
            </w:r>
          </w:p>
          <w:p>
            <w:pPr>
              <w:spacing w:after="0"/>
            </w:pPr>
            <w:r>
              <w:rPr>
                <w:rFonts w:ascii="Arial" w:hAnsi="Arial"/>
                <w:b w:val="0"/>
                <w:i w:val="0"/>
                <w:color w:val="323232"/>
                <w:sz w:val="20"/>
              </w:rPr>
              <w:t>The decision to continue collecting data is supported. The primary objective is to enhance the teacher recommendation system to drive higher student retention.</w:t>
            </w:r>
          </w:p>
        </w:tc>
      </w:tr>
    </w:tbl>
    <w:p/>
    <w:tbl>
      <w:tblPr>
        <w:tblW w:type="dxa" w:w="9648"/>
        <w:jc w:val="left"/>
        <w:tblLayout w:type="fixed"/>
        <w:tblLook w:firstColumn="1" w:firstRow="1" w:lastColumn="0" w:lastRow="0" w:noHBand="0" w:noVBand="1" w:val="04A0"/>
      </w:tblPr>
      <w:tblGrid>
        <w:gridCol w:w="9936"/>
      </w:tblGrid>
      <w:tr>
        <w:tc>
          <w:tcPr>
            <w:tcW w:type="dxa" w:w="9648"/>
            <w:shd w:fill="F6F8FB"/>
            <w:tcMar>
              <w:top w:w="110" w:type="dxa"/>
              <w:bottom w:w="110" w:type="dxa"/>
              <w:left w:w="140" w:type="dxa"/>
              <w:right w:w="140" w:type="dxa"/>
            </w:tcMar>
          </w:tcPr>
          <w:p>
            <w:pPr>
              <w:spacing w:after="40"/>
            </w:pPr>
            <w:r>
              <w:rPr>
                <w:rFonts w:ascii="Arial" w:hAnsi="Arial"/>
                <w:b/>
                <w:i w:val="0"/>
                <w:color w:val="1F3A5F"/>
                <w:sz w:val="20"/>
              </w:rPr>
              <w:t>What the evidence says</w:t>
            </w:r>
          </w:p>
          <w:p>
            <w:pPr>
              <w:spacing w:after="0"/>
            </w:pPr>
            <w:r>
              <w:rPr>
                <w:rFonts w:ascii="Arial" w:hAnsi="Arial"/>
                <w:b w:val="0"/>
                <w:i w:val="0"/>
                <w:color w:val="323232"/>
                <w:sz w:val="20"/>
              </w:rPr>
              <w:t>The experiment evaluated the predictive capability of the RandomForestClassifier in determining whether a student will open an assigned resource within seven days of assignment. Based on 126 rows of data involving 15 students and 61 resources, the model achieved validated results; however, the experiment yielded no robust winner, resulting in an exploratory-only maturity verdict.</w:t>
            </w:r>
          </w:p>
        </w:tc>
      </w:tr>
    </w:tbl>
    <w:p/>
    <w:tbl>
      <w:tblPr>
        <w:tblW w:type="dxa" w:w="9648"/>
        <w:jc w:val="left"/>
        <w:tblLayout w:type="fixed"/>
        <w:tblLook w:firstColumn="1" w:firstRow="1" w:lastColumn="0" w:lastRow="0" w:noHBand="0" w:noVBand="1" w:val="04A0"/>
      </w:tblPr>
      <w:tblGrid>
        <w:gridCol w:w="9936"/>
      </w:tblGrid>
      <w:tr>
        <w:tc>
          <w:tcPr>
            <w:tcW w:type="dxa" w:w="9648"/>
            <w:shd w:fill="F6F8FB"/>
            <w:tcMar>
              <w:top w:w="110" w:type="dxa"/>
              <w:bottom w:w="110" w:type="dxa"/>
              <w:left w:w="140" w:type="dxa"/>
              <w:right w:w="140" w:type="dxa"/>
            </w:tcMar>
          </w:tcPr>
          <w:p>
            <w:pPr>
              <w:spacing w:after="40"/>
            </w:pPr>
            <w:r>
              <w:rPr>
                <w:rFonts w:ascii="Arial" w:hAnsi="Arial"/>
                <w:b/>
                <w:i w:val="0"/>
                <w:color w:val="1F3A5F"/>
                <w:sz w:val="20"/>
              </w:rPr>
              <w:t>What it does not prove</w:t>
            </w:r>
          </w:p>
          <w:p>
            <w:pPr>
              <w:spacing w:after="0"/>
            </w:pPr>
            <w:r>
              <w:rPr>
                <w:rFonts w:ascii="Arial" w:hAnsi="Arial"/>
                <w:b w:val="0"/>
                <w:i w:val="0"/>
                <w:color w:val="323232"/>
                <w:sz w:val="20"/>
              </w:rPr>
              <w:t>The current results do not definitively prove whether specific resource content is the primary driver for non-engagement.</w:t>
            </w:r>
          </w:p>
        </w:tc>
      </w:tr>
    </w:tbl>
    <w:p/>
    <w:tbl>
      <w:tblPr>
        <w:tblW w:type="dxa" w:w="9648"/>
        <w:jc w:val="left"/>
        <w:tblLayout w:type="fixed"/>
        <w:tblLook w:firstColumn="1" w:firstRow="1" w:lastColumn="0" w:lastRow="0" w:noHBand="0" w:noVBand="1" w:val="04A0"/>
      </w:tblPr>
      <w:tblGrid>
        <w:gridCol w:w="9936"/>
      </w:tblGrid>
      <w:tr>
        <w:tc>
          <w:tcPr>
            <w:tcW w:type="dxa" w:w="9648"/>
            <w:shd w:fill="F6F8FB"/>
            <w:tcMar>
              <w:top w:w="110" w:type="dxa"/>
              <w:bottom w:w="110" w:type="dxa"/>
              <w:left w:w="140" w:type="dxa"/>
              <w:right w:w="140" w:type="dxa"/>
            </w:tcMar>
          </w:tcPr>
          <w:p>
            <w:pPr>
              <w:spacing w:after="40"/>
            </w:pPr>
            <w:r>
              <w:rPr>
                <w:rFonts w:ascii="Arial" w:hAnsi="Arial"/>
                <w:b/>
                <w:i w:val="0"/>
                <w:color w:val="1F3A5F"/>
                <w:sz w:val="20"/>
              </w:rPr>
              <w:t>What Classio should do next</w:t>
            </w:r>
          </w:p>
          <w:p>
            <w:pPr>
              <w:spacing w:after="0"/>
            </w:pPr>
            <w:r>
              <w:rPr>
                <w:rFonts w:ascii="Arial" w:hAnsi="Arial"/>
                <w:b w:val="0"/>
                <w:i w:val="0"/>
                <w:color w:val="323232"/>
                <w:sz w:val="20"/>
              </w:rPr>
              <w:t>Implementation is currently limited to exploratory testing. Future deployment should focus on expanding teacher coverage to increase dataset volume and improve model maturity.</w:t>
            </w:r>
          </w:p>
        </w:tc>
      </w:tr>
    </w:tbl>
    <w:p/>
    <w:p>
      <w:pPr>
        <w:pStyle w:val="Heading1"/>
        <w:keepNext/>
        <w:spacing w:before="200" w:after="80"/>
      </w:pPr>
      <w:r>
        <w:rPr>
          <w:rFonts w:ascii="Arial" w:hAnsi="Arial"/>
          <w:b/>
          <w:i w:val="0"/>
          <w:color w:val="1F3A5F"/>
          <w:sz w:val="32"/>
        </w:rPr>
        <w:t>Business and educational context</w:t>
      </w:r>
    </w:p>
    <w:tbl>
      <w:tblPr>
        <w:tblW w:type="dxa" w:w="9648"/>
        <w:jc w:val="left"/>
        <w:tblLayout w:type="fixed"/>
        <w:tblLook w:firstColumn="1" w:firstRow="1" w:lastColumn="0" w:lastRow="0" w:noHBand="0" w:noVBand="1" w:val="04A0"/>
      </w:tblPr>
      <w:tblGrid>
        <w:gridCol w:w="4968"/>
        <w:gridCol w:w="4968"/>
      </w:tblGrid>
      <w:tr>
        <w:trPr>
          <w:trHeight w:hRule="atLeast"/>
          <w:cantSplit/>
          <w:tblHeader w:val="true"/>
        </w:trPr>
        <w:tc>
          <w:tcPr>
            <w:tcW w:type="dxa" w:w="3311"/>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Field</w:t>
            </w:r>
          </w:p>
        </w:tc>
        <w:tc>
          <w:tcPr>
            <w:tcW w:type="dxa" w:w="6336"/>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Value</w:t>
            </w:r>
          </w:p>
        </w:tc>
      </w:tr>
      <w:tr>
        <w:trPr>
          <w:trHeight w:hRule="atLeast"/>
          <w:cantSplit/>
        </w:trPr>
        <w:tc>
          <w:tcPr>
            <w:tcW w:type="dxa" w:w="3311"/>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Why this experiment is being evaluated</w:t>
            </w:r>
          </w:p>
        </w:tc>
        <w:tc>
          <w:tcPr>
            <w:tcW w:type="dxa" w:w="633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Teachers frequently assign resources that students ignore. If Classio can predict ignored assignments before they occur, the platform can recommend alternative resources or suggest teacher intervention. The core question is whether Classio can predict if a student will open an assigned resource within seven days of assignment.</w:t>
            </w:r>
          </w:p>
        </w:tc>
      </w:tr>
      <w:tr>
        <w:trPr>
          <w:trHeight w:hRule="atLeast"/>
          <w:cantSplit/>
        </w:trPr>
        <w:tc>
          <w:tcPr>
            <w:tcW w:type="dxa" w:w="3311"/>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Decision supported</w:t>
            </w:r>
          </w:p>
        </w:tc>
        <w:tc>
          <w:tcPr>
            <w:tcW w:type="dxa" w:w="633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Improve the teacher recommendation system.</w:t>
            </w:r>
          </w:p>
        </w:tc>
      </w:tr>
      <w:tr>
        <w:trPr>
          <w:trHeight w:hRule="atLeast"/>
          <w:cantSplit/>
        </w:trPr>
        <w:tc>
          <w:tcPr>
            <w:tcW w:type="dxa" w:w="3311"/>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Expected value</w:t>
            </w:r>
          </w:p>
        </w:tc>
        <w:tc>
          <w:tcPr>
            <w:tcW w:type="dxa" w:w="633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Increased retention.</w:t>
            </w:r>
          </w:p>
        </w:tc>
      </w:tr>
      <w:tr>
        <w:trPr>
          <w:trHeight w:hRule="atLeast"/>
          <w:cantSplit/>
        </w:trPr>
        <w:tc>
          <w:tcPr>
            <w:tcW w:type="dxa" w:w="3311"/>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Product impact</w:t>
            </w:r>
          </w:p>
        </w:tc>
        <w:tc>
          <w:tcPr>
            <w:tcW w:type="dxa" w:w="633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Improvements to the recommendation system.</w:t>
            </w:r>
          </w:p>
        </w:tc>
      </w:tr>
      <w:tr>
        <w:trPr>
          <w:trHeight w:hRule="atLeast"/>
          <w:cantSplit/>
        </w:trPr>
        <w:tc>
          <w:tcPr>
            <w:tcW w:type="dxa" w:w="3311"/>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Success definition</w:t>
            </w:r>
          </w:p>
        </w:tc>
        <w:tc>
          <w:tcPr>
            <w:tcW w:type="dxa" w:w="633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The predictive capability itself.</w:t>
            </w:r>
          </w:p>
        </w:tc>
      </w:tr>
      <w:tr>
        <w:trPr>
          <w:trHeight w:hRule="atLeast"/>
          <w:cantSplit/>
        </w:trPr>
        <w:tc>
          <w:tcPr>
            <w:tcW w:type="dxa" w:w="3311"/>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Minimum evidence required</w:t>
            </w:r>
          </w:p>
        </w:tc>
        <w:tc>
          <w:tcPr>
            <w:tcW w:type="dxa" w:w="633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The predictive capability itself.</w:t>
            </w:r>
          </w:p>
        </w:tc>
      </w:tr>
      <w:tr>
        <w:trPr>
          <w:trHeight w:hRule="atLeast"/>
          <w:cantSplit/>
        </w:trPr>
        <w:tc>
          <w:tcPr>
            <w:tcW w:type="dxa" w:w="3311"/>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Risks</w:t>
            </w:r>
          </w:p>
        </w:tc>
        <w:tc>
          <w:tcPr>
            <w:tcW w:type="dxa" w:w="633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Variability in student class frequency.</w:t>
            </w:r>
          </w:p>
        </w:tc>
      </w:tr>
    </w:tbl>
    <w:p/>
    <w:p>
      <w:pPr>
        <w:pStyle w:val="Heading1"/>
        <w:keepNext/>
        <w:spacing w:before="200" w:after="80"/>
      </w:pPr>
      <w:r>
        <w:rPr>
          <w:rFonts w:ascii="Arial" w:hAnsi="Arial"/>
          <w:b/>
          <w:i w:val="0"/>
          <w:color w:val="1F3A5F"/>
          <w:sz w:val="32"/>
        </w:rPr>
        <w:t>Business readiness scorecard</w:t>
      </w:r>
    </w:p>
    <w:tbl>
      <w:tblPr>
        <w:tblW w:type="dxa" w:w="9647"/>
        <w:jc w:val="left"/>
        <w:tblLayout w:type="fixed"/>
        <w:tblLook w:firstColumn="1" w:firstRow="1" w:lastColumn="0" w:lastRow="0" w:noHBand="0" w:noVBand="1" w:val="04A0"/>
      </w:tblPr>
      <w:tblGrid>
        <w:gridCol w:w="3312"/>
        <w:gridCol w:w="3312"/>
        <w:gridCol w:w="3312"/>
      </w:tblGrid>
      <w:tr>
        <w:trPr>
          <w:trHeight w:hRule="atLeast"/>
          <w:cantSplit/>
          <w:tblHeader w:val="true"/>
        </w:trPr>
        <w:tc>
          <w:tcPr>
            <w:tcW w:type="dxa" w:w="2304"/>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Dimension</w:t>
            </w:r>
          </w:p>
        </w:tc>
        <w:tc>
          <w:tcPr>
            <w:tcW w:type="dxa" w:w="144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Status</w:t>
            </w:r>
          </w:p>
        </w:tc>
        <w:tc>
          <w:tcPr>
            <w:tcW w:type="dxa" w:w="5903"/>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Interpretation</w:t>
            </w:r>
          </w:p>
        </w:tc>
      </w:tr>
      <w:tr>
        <w:trPr>
          <w:trHeight w:hRule="atLeast"/>
          <w:cantSplit/>
        </w:trPr>
        <w:tc>
          <w:tcPr>
            <w:tcW w:type="dxa" w:w="230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Data coverage</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Moderate</w:t>
            </w:r>
          </w:p>
        </w:tc>
        <w:tc>
          <w:tcPr>
            <w:tcW w:type="dxa" w:w="590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126 labels</w:t>
            </w:r>
          </w:p>
        </w:tc>
      </w:tr>
      <w:tr>
        <w:trPr>
          <w:trHeight w:hRule="atLeast"/>
          <w:cantSplit/>
        </w:trPr>
        <w:tc>
          <w:tcPr>
            <w:tcW w:type="dxa" w:w="230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Teacher diversity</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Limited</w:t>
            </w:r>
          </w:p>
        </w:tc>
        <w:tc>
          <w:tcPr>
            <w:tcW w:type="dxa" w:w="590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1 teacher(s)</w:t>
            </w:r>
          </w:p>
        </w:tc>
      </w:tr>
      <w:tr>
        <w:trPr>
          <w:trHeight w:hRule="atLeast"/>
          <w:cantSplit/>
        </w:trPr>
        <w:tc>
          <w:tcPr>
            <w:tcW w:type="dxa" w:w="230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Feature readiness</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Moderate</w:t>
            </w:r>
          </w:p>
        </w:tc>
        <w:tc>
          <w:tcPr>
            <w:tcW w:type="dxa" w:w="590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Stored feature audit available.</w:t>
            </w:r>
          </w:p>
        </w:tc>
      </w:tr>
      <w:tr>
        <w:trPr>
          <w:trHeight w:hRule="atLeast"/>
          <w:cantSplit/>
        </w:trPr>
        <w:tc>
          <w:tcPr>
            <w:tcW w:type="dxa" w:w="230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Model discrimination</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Moderate</w:t>
            </w:r>
          </w:p>
        </w:tc>
        <w:tc>
          <w:tcPr>
            <w:tcW w:type="dxa" w:w="590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The comparison did not establish a statistically robust overall winner. Random Forest led several stored evaluation criteria, but the small holdout and single-teacher sample prevent a production-level conclusion.</w:t>
            </w:r>
          </w:p>
        </w:tc>
      </w:tr>
      <w:tr>
        <w:trPr>
          <w:trHeight w:hRule="atLeast"/>
          <w:cantSplit/>
        </w:trPr>
        <w:tc>
          <w:tcPr>
            <w:tcW w:type="dxa" w:w="230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Calibration</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Moderate</w:t>
            </w:r>
          </w:p>
        </w:tc>
        <w:tc>
          <w:tcPr>
            <w:tcW w:type="dxa" w:w="590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Random forest classifier</w:t>
            </w:r>
          </w:p>
        </w:tc>
      </w:tr>
      <w:tr>
        <w:trPr>
          <w:trHeight w:hRule="atLeast"/>
          <w:cantSplit/>
        </w:trPr>
        <w:tc>
          <w:tcPr>
            <w:tcW w:type="dxa" w:w="230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Production readiness</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Insufficient</w:t>
            </w:r>
          </w:p>
        </w:tc>
        <w:tc>
          <w:tcPr>
            <w:tcW w:type="dxa" w:w="590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Validated - no robust winner</w:t>
            </w:r>
          </w:p>
        </w:tc>
      </w:tr>
      <w:tr>
        <w:trPr>
          <w:trHeight w:hRule="atLeast"/>
          <w:cantSplit/>
        </w:trPr>
        <w:tc>
          <w:tcPr>
            <w:tcW w:type="dxa" w:w="230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Business-context completeness</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Moderate</w:t>
            </w:r>
          </w:p>
        </w:tc>
        <w:tc>
          <w:tcPr>
            <w:tcW w:type="dxa" w:w="590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17/17</w:t>
            </w:r>
          </w:p>
        </w:tc>
      </w:tr>
    </w:tbl>
    <w:p/>
    <w:p>
      <w:pPr>
        <w:pStyle w:val="Heading1"/>
        <w:keepNext/>
        <w:spacing w:before="200" w:after="80"/>
      </w:pPr>
      <w:r>
        <w:rPr>
          <w:rFonts w:ascii="Arial" w:hAnsi="Arial"/>
          <w:b/>
          <w:i w:val="0"/>
          <w:color w:val="1F3A5F"/>
          <w:sz w:val="32"/>
        </w:rPr>
        <w:t>Action plan</w:t>
      </w:r>
    </w:p>
    <w:tbl>
      <w:tblPr>
        <w:tblW w:type="dxa" w:w="9676"/>
        <w:jc w:val="left"/>
        <w:tblLayout w:type="fixed"/>
        <w:tblLook w:firstColumn="1" w:firstRow="1" w:lastColumn="0" w:lastRow="0" w:noHBand="0" w:noVBand="1" w:val="04A0"/>
      </w:tblPr>
      <w:tblGrid>
        <w:gridCol w:w="1656"/>
        <w:gridCol w:w="1656"/>
        <w:gridCol w:w="1656"/>
        <w:gridCol w:w="1656"/>
        <w:gridCol w:w="1656"/>
        <w:gridCol w:w="1656"/>
      </w:tblGrid>
      <w:tr>
        <w:trPr>
          <w:trHeight w:hRule="atLeast"/>
          <w:cantSplit/>
          <w:tblHeader w:val="true"/>
        </w:trPr>
        <w:tc>
          <w:tcPr>
            <w:tcW w:type="dxa" w:w="967"/>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Priority</w:t>
            </w:r>
          </w:p>
        </w:tc>
        <w:tc>
          <w:tcPr>
            <w:tcW w:type="dxa" w:w="2056"/>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Action</w:t>
            </w:r>
          </w:p>
        </w:tc>
        <w:tc>
          <w:tcPr>
            <w:tcW w:type="dxa" w:w="2419"/>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Reason</w:t>
            </w:r>
          </w:p>
        </w:tc>
        <w:tc>
          <w:tcPr>
            <w:tcW w:type="dxa" w:w="1451"/>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Owner</w:t>
            </w:r>
          </w:p>
        </w:tc>
        <w:tc>
          <w:tcPr>
            <w:tcW w:type="dxa" w:w="1814"/>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Trigger or deadline</w:t>
            </w:r>
          </w:p>
        </w:tc>
        <w:tc>
          <w:tcPr>
            <w:tcW w:type="dxa" w:w="967"/>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Status</w:t>
            </w:r>
          </w:p>
        </w:tc>
      </w:tr>
      <w:tr>
        <w:trPr>
          <w:trHeight w:hRule="atLeast"/>
          <w:cantSplit/>
        </w:trPr>
        <w:tc>
          <w:tcPr>
            <w:tcW w:type="dxa" w:w="967"/>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High</w:t>
            </w:r>
          </w:p>
        </w:tc>
        <w:tc>
          <w:tcPr>
            <w:tcW w:type="dxa" w:w="2056"/>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Expand teacher coverage</w:t>
            </w:r>
          </w:p>
        </w:tc>
        <w:tc>
          <w:tcPr>
            <w:tcW w:type="dxa" w:w="2419"/>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Current evidence comes from one teacher.</w:t>
            </w:r>
          </w:p>
        </w:tc>
        <w:tc>
          <w:tcPr>
            <w:tcW w:type="dxa" w:w="1451"/>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Anthony Gonzalez</w:t>
            </w:r>
          </w:p>
        </w:tc>
        <w:tc>
          <w:tcPr>
            <w:tcW w:type="dxa" w:w="1814"/>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At least five teachers represented</w:t>
            </w:r>
          </w:p>
        </w:tc>
        <w:tc>
          <w:tcPr>
            <w:tcW w:type="dxa" w:w="967"/>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Open</w:t>
            </w:r>
          </w:p>
        </w:tc>
      </w:tr>
      <w:tr>
        <w:trPr>
          <w:trHeight w:hRule="atLeast"/>
          <w:cantSplit/>
        </w:trPr>
        <w:tc>
          <w:tcPr>
            <w:tcW w:type="dxa" w:w="967"/>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Medium</w:t>
            </w:r>
          </w:p>
        </w:tc>
        <w:tc>
          <w:tcPr>
            <w:tcW w:type="dxa" w:w="2056"/>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Continue collecting labels</w:t>
            </w:r>
          </w:p>
        </w:tc>
        <w:tc>
          <w:tcPr>
            <w:tcW w:type="dxa" w:w="2419"/>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Current validated sample is still limited.</w:t>
            </w:r>
          </w:p>
        </w:tc>
        <w:tc>
          <w:tcPr>
            <w:tcW w:type="dxa" w:w="1451"/>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Anthony Gonzalez</w:t>
            </w:r>
          </w:p>
        </w:tc>
        <w:tc>
          <w:tcPr>
            <w:tcW w:type="dxa" w:w="1814"/>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500 additional mature labels</w:t>
            </w:r>
          </w:p>
        </w:tc>
        <w:tc>
          <w:tcPr>
            <w:tcW w:type="dxa" w:w="967"/>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Open</w:t>
            </w:r>
          </w:p>
        </w:tc>
      </w:tr>
      <w:tr>
        <w:trPr>
          <w:trHeight w:hRule="atLeast"/>
          <w:cantSplit/>
        </w:trPr>
        <w:tc>
          <w:tcPr>
            <w:tcW w:type="dxa" w:w="967"/>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Medium</w:t>
            </w:r>
          </w:p>
        </w:tc>
        <w:tc>
          <w:tcPr>
            <w:tcW w:type="dxa" w:w="2056"/>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Regenerate report after context review</w:t>
            </w:r>
          </w:p>
        </w:tc>
        <w:tc>
          <w:tcPr>
            <w:tcW w:type="dxa" w:w="2419"/>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Business context improves meeting readiness.</w:t>
            </w:r>
          </w:p>
        </w:tc>
        <w:tc>
          <w:tcPr>
            <w:tcW w:type="dxa" w:w="1451"/>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Anthony Gonzalez</w:t>
            </w:r>
          </w:p>
        </w:tc>
        <w:tc>
          <w:tcPr>
            <w:tcW w:type="dxa" w:w="1814"/>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cuando más profesores utilicen la app</w:t>
            </w:r>
          </w:p>
        </w:tc>
        <w:tc>
          <w:tcPr>
            <w:tcW w:type="dxa" w:w="967"/>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Open</w:t>
            </w:r>
          </w:p>
        </w:tc>
      </w:tr>
    </w:tbl>
    <w:p/>
    <w:p>
      <w:pPr>
        <w:pStyle w:val="Heading1"/>
        <w:keepNext/>
        <w:spacing w:before="200" w:after="80"/>
      </w:pPr>
      <w:r>
        <w:rPr>
          <w:rFonts w:ascii="Arial" w:hAnsi="Arial"/>
          <w:b/>
          <w:i w:val="0"/>
          <w:color w:val="1F3A5F"/>
          <w:sz w:val="32"/>
        </w:rPr>
        <w:t>Document control and metadata</w:t>
      </w:r>
    </w:p>
    <w:tbl>
      <w:tblPr>
        <w:tblW w:type="dxa" w:w="9648"/>
        <w:jc w:val="left"/>
        <w:tblLayout w:type="fixed"/>
        <w:tblLook w:firstColumn="1" w:firstRow="1" w:lastColumn="0" w:lastRow="0" w:noHBand="0" w:noVBand="1" w:val="04A0"/>
      </w:tblPr>
      <w:tblGrid>
        <w:gridCol w:w="4968"/>
        <w:gridCol w:w="4968"/>
      </w:tblGrid>
      <w:tr>
        <w:trPr>
          <w:trHeight w:hRule="atLeast"/>
          <w:cantSplit/>
          <w:tblHeader w:val="true"/>
        </w:trPr>
        <w:tc>
          <w:tcPr>
            <w:tcW w:type="dxa" w:w="3168"/>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Field</w:t>
            </w:r>
          </w:p>
        </w:tc>
        <w:tc>
          <w:tcPr>
            <w:tcW w:type="dxa" w:w="648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Value</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Run status</w:t>
            </w:r>
          </w:p>
        </w:tc>
        <w:tc>
          <w:tcPr>
            <w:tcW w:type="dxa" w:w="648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Validated - no robust winner</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Integrity</w:t>
            </w:r>
          </w:p>
        </w:tc>
        <w:tc>
          <w:tcPr>
            <w:tcW w:type="dxa" w:w="648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Passed no robust winner</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Maturity</w:t>
            </w:r>
          </w:p>
        </w:tc>
        <w:tc>
          <w:tcPr>
            <w:tcW w:type="dxa" w:w="648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Exploratory only</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Target version</w:t>
            </w:r>
          </w:p>
        </w:tc>
        <w:tc>
          <w:tcPr>
            <w:tcW w:type="dxa" w:w="648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Opened Within 7d V1</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Feature schema version</w:t>
            </w:r>
          </w:p>
        </w:tc>
        <w:tc>
          <w:tcPr>
            <w:tcW w:type="dxa" w:w="648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Assigned Resource Open 7d V1</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Run ID</w:t>
            </w:r>
          </w:p>
        </w:tc>
        <w:tc>
          <w:tcPr>
            <w:tcW w:type="dxa" w:w="648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ebcf382089d2</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Dataset fingerprint</w:t>
            </w:r>
          </w:p>
        </w:tc>
        <w:tc>
          <w:tcPr>
            <w:tcW w:type="dxa" w:w="648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6725ffb449deb229c08f83469e2d3b0a32c68fea72e519a1d18f621f9028c5a4</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Chronological cutoff</w:t>
            </w:r>
          </w:p>
        </w:tc>
        <w:tc>
          <w:tcPr>
            <w:tcW w:type="dxa" w:w="648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2026-06-30T17:56:21.615697+00:00</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Business context supplied by</w:t>
            </w:r>
          </w:p>
        </w:tc>
        <w:tc>
          <w:tcPr>
            <w:tcW w:type="dxa" w:w="648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e109dd3c-8e12-4db4-bf64-91a856719317</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Context last updated</w:t>
            </w:r>
          </w:p>
        </w:tc>
        <w:tc>
          <w:tcPr>
            <w:tcW w:type="dxa" w:w="648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2026-07-20T05:57:08.397491+00:00</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AI-assisted wording</w:t>
            </w:r>
          </w:p>
        </w:tc>
        <w:tc>
          <w:tcPr>
            <w:tcW w:type="dxa" w:w="648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Yes</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Report language</w:t>
            </w:r>
          </w:p>
        </w:tc>
        <w:tc>
          <w:tcPr>
            <w:tcW w:type="dxa" w:w="648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EN</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Report version</w:t>
            </w:r>
          </w:p>
        </w:tc>
        <w:tc>
          <w:tcPr>
            <w:tcW w:type="dxa" w:w="648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6</w:t>
            </w:r>
          </w:p>
        </w:tc>
      </w:tr>
    </w:tbl>
    <w:p/>
    <w:p>
      <w:pPr>
        <w:pStyle w:val="Heading1"/>
        <w:keepNext/>
        <w:spacing w:before="200" w:after="80"/>
      </w:pPr>
      <w:r>
        <w:rPr>
          <w:rFonts w:ascii="Arial" w:hAnsi="Arial"/>
          <w:b/>
          <w:i w:val="0"/>
          <w:color w:val="1F3A5F"/>
          <w:sz w:val="32"/>
        </w:rPr>
        <w:t>Experiment definition</w:t>
      </w:r>
    </w:p>
    <w:p>
      <w:r>
        <w:rPr>
          <w:rFonts w:ascii="Arial" w:hAnsi="Arial"/>
          <w:b w:val="0"/>
          <w:i w:val="0"/>
          <w:color w:val="282828"/>
          <w:sz w:val="21"/>
        </w:rPr>
        <w:t>Can Classio predict whether a student will open an assigned resource within seven days?</w:t>
      </w:r>
    </w:p>
    <w:p>
      <w:r>
        <w:rPr>
          <w:rFonts w:ascii="Arial" w:hAnsi="Arial"/>
          <w:b w:val="0"/>
          <w:i w:val="0"/>
          <w:color w:val="282828"/>
          <w:sz w:val="21"/>
        </w:rPr>
        <w:t>Prediction target: opened_within_7d, based on assignment-open behavior within a seven-day window.</w:t>
      </w:r>
    </w:p>
    <w:p>
      <w:pPr>
        <w:pStyle w:val="Heading1"/>
        <w:keepNext/>
        <w:spacing w:before="200" w:after="80"/>
      </w:pPr>
      <w:r>
        <w:rPr>
          <w:rFonts w:ascii="Arial" w:hAnsi="Arial"/>
          <w:b/>
          <w:i w:val="0"/>
          <w:color w:val="1F3A5F"/>
          <w:sz w:val="32"/>
        </w:rPr>
        <w:t>Source tables and extraction logic</w:t>
      </w:r>
    </w:p>
    <w:p>
      <w:pPr>
        <w:pStyle w:val="ListBullet"/>
        <w:spacing w:after="80"/>
      </w:pPr>
      <w:r>
        <w:rPr>
          <w:rFonts w:ascii="Arial" w:hAnsi="Arial"/>
          <w:b w:val="0"/>
          <w:i w:val="0"/>
          <w:color w:val="282828"/>
          <w:sz w:val="20"/>
        </w:rPr>
        <w:t>Source tables: teacher_assignments, teacher_assignment_attempts, practice_sessions, resource_exposures, and resource_exposure_events.</w:t>
      </w:r>
    </w:p>
    <w:p>
      <w:pPr>
        <w:pStyle w:val="ListBullet"/>
        <w:spacing w:after="80"/>
      </w:pPr>
      <w:r>
        <w:rPr>
          <w:rFonts w:ascii="Arial" w:hAnsi="Arial"/>
          <w:b w:val="0"/>
          <w:i w:val="0"/>
          <w:color w:val="282828"/>
          <w:sz w:val="20"/>
        </w:rPr>
        <w:t>Extraction logic is frozen in the validated run artifacts and summarized in the dataset summary JSON.</w:t>
      </w:r>
    </w:p>
    <w:p>
      <w:pPr>
        <w:pStyle w:val="ListBullet"/>
        <w:spacing w:after="80"/>
      </w:pPr>
      <w:r>
        <w:rPr>
          <w:rFonts w:ascii="Arial" w:hAnsi="Arial"/>
          <w:b w:val="0"/>
          <w:i w:val="0"/>
          <w:color w:val="282828"/>
          <w:sz w:val="20"/>
        </w:rPr>
        <w:t>All feature construction is constrained to information known at or before assignment time.</w:t>
      </w:r>
    </w:p>
    <w:p>
      <w:pPr>
        <w:pStyle w:val="Heading1"/>
        <w:keepNext/>
        <w:spacing w:before="200" w:after="80"/>
      </w:pPr>
      <w:r>
        <w:rPr>
          <w:rFonts w:ascii="Arial" w:hAnsi="Arial"/>
          <w:b/>
          <w:i w:val="0"/>
          <w:color w:val="1F3A5F"/>
          <w:sz w:val="32"/>
        </w:rPr>
        <w:t>Dataset accounting</w:t>
      </w:r>
    </w:p>
    <w:tbl>
      <w:tblPr>
        <w:tblW w:type="dxa" w:w="9647"/>
        <w:jc w:val="left"/>
        <w:tblLayout w:type="fixed"/>
        <w:tblLook w:firstColumn="1" w:firstRow="1" w:lastColumn="0" w:lastRow="0" w:noHBand="0" w:noVBand="1" w:val="04A0"/>
      </w:tblPr>
      <w:tblGrid>
        <w:gridCol w:w="4968"/>
        <w:gridCol w:w="4968"/>
      </w:tblGrid>
      <w:tr>
        <w:trPr>
          <w:trHeight w:hRule="atLeast"/>
          <w:cantSplit/>
          <w:tblHeader w:val="true"/>
        </w:trPr>
        <w:tc>
          <w:tcPr>
            <w:tcW w:type="dxa" w:w="3024"/>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Field</w:t>
            </w:r>
          </w:p>
        </w:tc>
        <w:tc>
          <w:tcPr>
            <w:tcW w:type="dxa" w:w="6623"/>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Value</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Source rows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128</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Included rows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126</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Positive labels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73</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Negative labels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53</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Right-censored</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2</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Teachers represented</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1</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Students represented</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15</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Resources represented</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61</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Date range</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2026-04-10T11:54:00.263328+00:00 to 2026-07-17T17:21:47.105912+00:00</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Chronological cutoff</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2026-06-30T17:56:21.615697+00:00</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Development rows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100</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Holdout rows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26</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Observation Window Open</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2</w:t>
            </w:r>
          </w:p>
        </w:tc>
      </w:tr>
    </w:tbl>
    <w:p/>
    <w:p>
      <w:r>
        <w:drawing>
          <wp:inline xmlns:a="http://schemas.openxmlformats.org/drawingml/2006/main" xmlns:pic="http://schemas.openxmlformats.org/drawingml/2006/picture">
            <wp:extent cx="5120640" cy="3092078"/>
            <wp:docPr id="1" name="Picture 1"/>
            <wp:cNvGraphicFramePr>
              <a:graphicFrameLocks noChangeAspect="1"/>
            </wp:cNvGraphicFramePr>
            <a:graphic>
              <a:graphicData uri="http://schemas.openxmlformats.org/drawingml/2006/picture">
                <pic:pic>
                  <pic:nvPicPr>
                    <pic:cNvPr id="0" name="label_balance_6d2c112b69.png"/>
                    <pic:cNvPicPr/>
                  </pic:nvPicPr>
                  <pic:blipFill>
                    <a:blip r:embed="rId11"/>
                    <a:stretch>
                      <a:fillRect/>
                    </a:stretch>
                  </pic:blipFill>
                  <pic:spPr>
                    <a:xfrm>
                      <a:off x="0" y="0"/>
                      <a:ext cx="5120640" cy="3092078"/>
                    </a:xfrm>
                    <a:prstGeom prst="rect"/>
                  </pic:spPr>
                </pic:pic>
              </a:graphicData>
            </a:graphic>
          </wp:inline>
        </w:drawing>
      </w:r>
    </w:p>
    <w:p>
      <w:pPr>
        <w:spacing w:before="20" w:after="160"/>
      </w:pPr>
      <w:r>
        <w:rPr>
          <w:rFonts w:ascii="Arial" w:hAnsi="Arial"/>
          <w:b w:val="0"/>
          <w:i/>
          <w:color w:val="5A626F"/>
          <w:sz w:val="17"/>
        </w:rPr>
        <w:t>Figure 1. Stored target/class distribution.</w:t>
      </w:r>
    </w:p>
    <w:p>
      <w:r>
        <w:drawing>
          <wp:inline xmlns:a="http://schemas.openxmlformats.org/drawingml/2006/main" xmlns:pic="http://schemas.openxmlformats.org/drawingml/2006/picture">
            <wp:extent cx="5852160" cy="1999733"/>
            <wp:docPr id="2" name="Picture 2"/>
            <wp:cNvGraphicFramePr>
              <a:graphicFrameLocks noChangeAspect="1"/>
            </wp:cNvGraphicFramePr>
            <a:graphic>
              <a:graphicData uri="http://schemas.openxmlformats.org/drawingml/2006/picture">
                <pic:pic>
                  <pic:nvPicPr>
                    <pic:cNvPr id="0" name="split_timeline_6d2c112b69.png"/>
                    <pic:cNvPicPr/>
                  </pic:nvPicPr>
                  <pic:blipFill>
                    <a:blip r:embed="rId12"/>
                    <a:stretch>
                      <a:fillRect/>
                    </a:stretch>
                  </pic:blipFill>
                  <pic:spPr>
                    <a:xfrm>
                      <a:off x="0" y="0"/>
                      <a:ext cx="5852160" cy="1999733"/>
                    </a:xfrm>
                    <a:prstGeom prst="rect"/>
                  </pic:spPr>
                </pic:pic>
              </a:graphicData>
            </a:graphic>
          </wp:inline>
        </w:drawing>
      </w:r>
    </w:p>
    <w:p>
      <w:pPr>
        <w:spacing w:before="20" w:after="160"/>
      </w:pPr>
      <w:r>
        <w:rPr>
          <w:rFonts w:ascii="Arial" w:hAnsi="Arial"/>
          <w:b w:val="0"/>
          <w:i/>
          <w:color w:val="5A626F"/>
          <w:sz w:val="17"/>
        </w:rPr>
        <w:t>Figure 2. Assignment timeline and chronological split cutoff.</w:t>
      </w:r>
    </w:p>
    <w:p>
      <w:pPr>
        <w:pStyle w:val="Heading1"/>
        <w:keepNext/>
        <w:spacing w:before="200" w:after="80"/>
      </w:pPr>
      <w:r>
        <w:rPr>
          <w:rFonts w:ascii="Arial" w:hAnsi="Arial"/>
          <w:b/>
          <w:i w:val="0"/>
          <w:color w:val="1F3A5F"/>
          <w:sz w:val="32"/>
        </w:rPr>
        <w:t>Label construction and reconciliation</w:t>
      </w:r>
    </w:p>
    <w:tbl>
      <w:tblPr>
        <w:tblW w:type="dxa" w:w="9647"/>
        <w:jc w:val="left"/>
        <w:tblLayout w:type="fixed"/>
        <w:tblLook w:firstColumn="1" w:firstRow="1" w:lastColumn="0" w:lastRow="0" w:noHBand="0" w:noVBand="1" w:val="04A0"/>
      </w:tblPr>
      <w:tblGrid>
        <w:gridCol w:w="4968"/>
        <w:gridCol w:w="4968"/>
      </w:tblGrid>
      <w:tr>
        <w:trPr>
          <w:trHeight w:hRule="atLeast"/>
          <w:cantSplit/>
          <w:tblHeader w:val="true"/>
        </w:trPr>
        <w:tc>
          <w:tcPr>
            <w:tcW w:type="dxa" w:w="3456"/>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Field</w:t>
            </w:r>
          </w:p>
        </w:tc>
        <w:tc>
          <w:tcPr>
            <w:tcW w:type="dxa" w:w="6192"/>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Value</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Final verdict</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Validated - no robust winner</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Exact row-level reconciliation</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Yes</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Legacy audit reconciliation applicable</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No</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Audit counts</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{"negative": 53, "positive": 61, "unknown": 13}</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Phase 3 counts</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{"negative": 53, "positive": 73, "unknown": 2}</w:t>
            </w:r>
          </w:p>
        </w:tc>
      </w:tr>
    </w:tbl>
    <w:p/>
    <w:p>
      <w:pPr>
        <w:pStyle w:val="ListBullet"/>
        <w:spacing w:after="80"/>
      </w:pPr>
      <w:r>
        <w:rPr>
          <w:rFonts w:ascii="Arial" w:hAnsi="Arial"/>
          <w:b w:val="0"/>
          <w:i w:val="0"/>
          <w:color w:val="282828"/>
          <w:sz w:val="20"/>
        </w:rPr>
        <w:t>This run was generated by the current Phase 3.6 pipeline, so historical Phase 3.5 audit-count reconciliation is not required for validation.</w:t>
      </w:r>
    </w:p>
    <w:p>
      <w:pPr>
        <w:pStyle w:val="Heading1"/>
        <w:keepNext/>
        <w:spacing w:before="200" w:after="80"/>
      </w:pPr>
      <w:r>
        <w:rPr>
          <w:rFonts w:ascii="Arial" w:hAnsi="Arial"/>
          <w:b/>
          <w:i w:val="0"/>
          <w:color w:val="1F3A5F"/>
          <w:sz w:val="32"/>
        </w:rPr>
        <w:t>Leakage controls</w:t>
      </w:r>
    </w:p>
    <w:p>
      <w:pPr>
        <w:pStyle w:val="ListBullet"/>
        <w:spacing w:after="80"/>
      </w:pPr>
      <w:r>
        <w:rPr>
          <w:rFonts w:ascii="Arial" w:hAnsi="Arial"/>
          <w:b w:val="0"/>
          <w:i w:val="0"/>
          <w:color w:val="282828"/>
          <w:sz w:val="20"/>
        </w:rPr>
        <w:t>Chronological holdout keeps future assignments out of development data.</w:t>
      </w:r>
    </w:p>
    <w:p>
      <w:pPr>
        <w:pStyle w:val="ListBullet"/>
        <w:spacing w:after="80"/>
      </w:pPr>
      <w:r>
        <w:rPr>
          <w:rFonts w:ascii="Arial" w:hAnsi="Arial"/>
          <w:b w:val="0"/>
          <w:i w:val="0"/>
          <w:color w:val="282828"/>
          <w:sz w:val="20"/>
        </w:rPr>
        <w:t>Feature timestamps are checked against assignment time to enforce past-only availability.</w:t>
      </w:r>
    </w:p>
    <w:p>
      <w:pPr>
        <w:pStyle w:val="ListBullet"/>
        <w:spacing w:after="80"/>
      </w:pPr>
      <w:r>
        <w:rPr>
          <w:rFonts w:ascii="Arial" w:hAnsi="Arial"/>
          <w:b w:val="0"/>
          <w:i w:val="0"/>
          <w:color w:val="282828"/>
          <w:sz w:val="20"/>
        </w:rPr>
        <w:t>Feature missingness explanations in the stored review confirm that sparsity comes from history availability rather than identifier mismatch.</w:t>
      </w:r>
    </w:p>
    <w:p>
      <w:pPr>
        <w:pStyle w:val="Heading1"/>
        <w:keepNext/>
        <w:spacing w:before="200" w:after="80"/>
      </w:pPr>
      <w:r>
        <w:rPr>
          <w:rFonts w:ascii="Arial" w:hAnsi="Arial"/>
          <w:b/>
          <w:i w:val="0"/>
          <w:color w:val="1F3A5F"/>
          <w:sz w:val="32"/>
        </w:rPr>
        <w:t>Feature schema and feature health</w:t>
      </w:r>
    </w:p>
    <w:p>
      <w:r>
        <w:drawing>
          <wp:inline xmlns:a="http://schemas.openxmlformats.org/drawingml/2006/main" xmlns:pic="http://schemas.openxmlformats.org/drawingml/2006/picture">
            <wp:extent cx="5852160" cy="3522514"/>
            <wp:docPr id="3" name="Picture 3"/>
            <wp:cNvGraphicFramePr>
              <a:graphicFrameLocks noChangeAspect="1"/>
            </wp:cNvGraphicFramePr>
            <a:graphic>
              <a:graphicData uri="http://schemas.openxmlformats.org/drawingml/2006/picture">
                <pic:pic>
                  <pic:nvPicPr>
                    <pic:cNvPr id="0" name="feature_missingness_6d2c112b69.png"/>
                    <pic:cNvPicPr/>
                  </pic:nvPicPr>
                  <pic:blipFill>
                    <a:blip r:embed="rId13"/>
                    <a:stretch>
                      <a:fillRect/>
                    </a:stretch>
                  </pic:blipFill>
                  <pic:spPr>
                    <a:xfrm>
                      <a:off x="0" y="0"/>
                      <a:ext cx="5852160" cy="3522514"/>
                    </a:xfrm>
                    <a:prstGeom prst="rect"/>
                  </pic:spPr>
                </pic:pic>
              </a:graphicData>
            </a:graphic>
          </wp:inline>
        </w:drawing>
      </w:r>
    </w:p>
    <w:p>
      <w:pPr>
        <w:spacing w:before="20" w:after="160"/>
      </w:pPr>
      <w:r>
        <w:rPr>
          <w:rFonts w:ascii="Arial" w:hAnsi="Arial"/>
          <w:b w:val="0"/>
          <w:i/>
          <w:color w:val="5A626F"/>
          <w:sz w:val="17"/>
        </w:rPr>
        <w:t>Figure 3. Highest overall missingness rates from the stored feature audit.</w:t>
      </w:r>
    </w:p>
    <w:tbl>
      <w:tblPr>
        <w:tblW w:type="dxa" w:w="9676"/>
        <w:jc w:val="left"/>
        <w:tblLayout w:type="fixed"/>
        <w:tblLook w:firstColumn="1" w:firstRow="1" w:lastColumn="0" w:lastRow="0" w:noHBand="0" w:noVBand="1" w:val="04A0"/>
      </w:tblPr>
      <w:tblGrid>
        <w:gridCol w:w="1242"/>
        <w:gridCol w:w="1242"/>
        <w:gridCol w:w="1242"/>
        <w:gridCol w:w="1242"/>
        <w:gridCol w:w="1242"/>
        <w:gridCol w:w="1242"/>
        <w:gridCol w:w="1242"/>
        <w:gridCol w:w="1242"/>
      </w:tblGrid>
      <w:tr>
        <w:trPr>
          <w:trHeight w:hRule="atLeast"/>
          <w:cantSplit/>
          <w:tblHeader w:val="true"/>
        </w:trPr>
        <w:tc>
          <w:tcPr>
            <w:tcW w:type="dxa" w:w="1022"/>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Feature</w:t>
            </w:r>
          </w:p>
        </w:tc>
        <w:tc>
          <w:tcPr>
            <w:tcW w:type="dxa" w:w="1022"/>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Source</w:t>
            </w:r>
          </w:p>
        </w:tc>
        <w:tc>
          <w:tcPr>
            <w:tcW w:type="dxa" w:w="1158"/>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Availability</w:t>
            </w:r>
          </w:p>
        </w:tc>
        <w:tc>
          <w:tcPr>
            <w:tcW w:type="dxa" w:w="885"/>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Overall missing</w:t>
            </w:r>
          </w:p>
        </w:tc>
        <w:tc>
          <w:tcPr>
            <w:tcW w:type="dxa" w:w="885"/>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Dev missing</w:t>
            </w:r>
          </w:p>
        </w:tc>
        <w:tc>
          <w:tcPr>
            <w:tcW w:type="dxa" w:w="1022"/>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Holdout missing</w:t>
            </w:r>
          </w:p>
        </w:tc>
        <w:tc>
          <w:tcPr>
            <w:tcW w:type="dxa" w:w="681"/>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Included</w:t>
            </w:r>
          </w:p>
        </w:tc>
        <w:tc>
          <w:tcPr>
            <w:tcW w:type="dxa" w:w="2998"/>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Explanation</w:t>
            </w:r>
          </w:p>
        </w:tc>
      </w:tr>
      <w:tr>
        <w:trPr>
          <w:trHeight w:hRule="atLeast"/>
          <w:cantSplit/>
        </w:trPr>
        <w:tc>
          <w:tcPr>
            <w:tcW w:type="dxa" w:w="1022"/>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Prior Student Assignment Open Rate</w:t>
            </w:r>
          </w:p>
        </w:tc>
        <w:tc>
          <w:tcPr>
            <w:tcW w:type="dxa" w:w="1022"/>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Stored review</w:t>
            </w:r>
          </w:p>
        </w:tc>
        <w:tc>
          <w:tcPr>
            <w:tcW w:type="dxa" w:w="115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Past-only</w:t>
            </w:r>
          </w:p>
        </w:tc>
        <w:tc>
          <w:tcPr>
            <w:tcW w:type="dxa" w:w="885"/>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31.25%</w:t>
            </w:r>
          </w:p>
        </w:tc>
        <w:tc>
          <w:tcPr>
            <w:tcW w:type="dxa" w:w="885"/>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40.0%</w:t>
            </w:r>
          </w:p>
        </w:tc>
        <w:tc>
          <w:tcPr>
            <w:tcW w:type="dxa" w:w="1022"/>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0.0%</w:t>
            </w:r>
          </w:p>
        </w:tc>
        <w:tc>
          <w:tcPr>
            <w:tcW w:type="dxa" w:w="681"/>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Yes</w:t>
            </w:r>
          </w:p>
        </w:tc>
        <w:tc>
          <w:tcPr>
            <w:tcW w:type="dxa" w:w="299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No identifier mismatch was found. Missing values are produced by the feature-construction rule that only uses strictly earlier mature history. For early assignments there is no mature prior history yet; resource-level sparsity is especially severe for prior_resource_open_rate.</w:t>
            </w:r>
          </w:p>
        </w:tc>
      </w:tr>
      <w:tr>
        <w:trPr>
          <w:trHeight w:hRule="atLeast"/>
          <w:cantSplit/>
        </w:trPr>
        <w:tc>
          <w:tcPr>
            <w:tcW w:type="dxa" w:w="1022"/>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Prior Teacher Assignment Open Rate</w:t>
            </w:r>
          </w:p>
        </w:tc>
        <w:tc>
          <w:tcPr>
            <w:tcW w:type="dxa" w:w="1022"/>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Stored review</w:t>
            </w:r>
          </w:p>
        </w:tc>
        <w:tc>
          <w:tcPr>
            <w:tcW w:type="dxa" w:w="115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Past-only</w:t>
            </w:r>
          </w:p>
        </w:tc>
        <w:tc>
          <w:tcPr>
            <w:tcW w:type="dxa" w:w="885"/>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21.88%</w:t>
            </w:r>
          </w:p>
        </w:tc>
        <w:tc>
          <w:tcPr>
            <w:tcW w:type="dxa" w:w="885"/>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28.0%</w:t>
            </w:r>
          </w:p>
        </w:tc>
        <w:tc>
          <w:tcPr>
            <w:tcW w:type="dxa" w:w="1022"/>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0.0%</w:t>
            </w:r>
          </w:p>
        </w:tc>
        <w:tc>
          <w:tcPr>
            <w:tcW w:type="dxa" w:w="681"/>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Yes</w:t>
            </w:r>
          </w:p>
        </w:tc>
        <w:tc>
          <w:tcPr>
            <w:tcW w:type="dxa" w:w="299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No identifier mismatch was found. Missing values are produced by the feature-construction rule that only uses strictly earlier mature history. For early assignments there is no mature prior history yet; resource-level sparsity is especially severe for prior_resource_open_rate.</w:t>
            </w:r>
          </w:p>
        </w:tc>
      </w:tr>
      <w:tr>
        <w:trPr>
          <w:trHeight w:hRule="atLeast"/>
          <w:cantSplit/>
        </w:trPr>
        <w:tc>
          <w:tcPr>
            <w:tcW w:type="dxa" w:w="1022"/>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Prior Resource Open Rate</w:t>
            </w:r>
          </w:p>
        </w:tc>
        <w:tc>
          <w:tcPr>
            <w:tcW w:type="dxa" w:w="1022"/>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Stored review</w:t>
            </w:r>
          </w:p>
        </w:tc>
        <w:tc>
          <w:tcPr>
            <w:tcW w:type="dxa" w:w="115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Past-only</w:t>
            </w:r>
          </w:p>
        </w:tc>
        <w:tc>
          <w:tcPr>
            <w:tcW w:type="dxa" w:w="885"/>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73.44%</w:t>
            </w:r>
          </w:p>
        </w:tc>
        <w:tc>
          <w:tcPr>
            <w:tcW w:type="dxa" w:w="885"/>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70.0%</w:t>
            </w:r>
          </w:p>
        </w:tc>
        <w:tc>
          <w:tcPr>
            <w:tcW w:type="dxa" w:w="1022"/>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84.62%</w:t>
            </w:r>
          </w:p>
        </w:tc>
        <w:tc>
          <w:tcPr>
            <w:tcW w:type="dxa" w:w="681"/>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Yes</w:t>
            </w:r>
          </w:p>
        </w:tc>
        <w:tc>
          <w:tcPr>
            <w:tcW w:type="dxa" w:w="299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No identifier mismatch was found. Missing values are produced by the feature-construction rule that only uses strictly earlier mature history. For early assignments there is no mature prior history yet; resource-level sparsity is especially severe for prior_resource_open_rate.</w:t>
            </w:r>
          </w:p>
        </w:tc>
      </w:tr>
    </w:tbl>
    <w:p>
      <w:pPr>
        <w:spacing w:before="20" w:after="160"/>
      </w:pPr>
      <w:r>
        <w:rPr>
          <w:rFonts w:ascii="Arial" w:hAnsi="Arial"/>
          <w:b w:val="0"/>
          <w:i/>
          <w:color w:val="5A626F"/>
          <w:sz w:val="17"/>
        </w:rPr>
        <w:t>Feature-health table using the stored audit and review output.</w:t>
      </w:r>
    </w:p>
    <w:p/>
    <w:p>
      <w:pPr>
        <w:pStyle w:val="Heading1"/>
        <w:keepNext/>
        <w:spacing w:before="200" w:after="80"/>
      </w:pPr>
      <w:r>
        <w:rPr>
          <w:rFonts w:ascii="Arial" w:hAnsi="Arial"/>
          <w:b/>
          <w:i w:val="0"/>
          <w:color w:val="1F3A5F"/>
          <w:sz w:val="32"/>
        </w:rPr>
        <w:t>Preprocessing pipelines</w:t>
      </w:r>
    </w:p>
    <w:p>
      <w:pPr>
        <w:pStyle w:val="ListBullet"/>
        <w:spacing w:after="80"/>
      </w:pPr>
      <w:r>
        <w:rPr>
          <w:rFonts w:ascii="Arial" w:hAnsi="Arial"/>
          <w:b w:val="0"/>
          <w:i w:val="0"/>
          <w:color w:val="282828"/>
          <w:sz w:val="20"/>
        </w:rPr>
        <w:t>Missing values are imputed only when the stored evaluation pipeline marked the feature as retained.</w:t>
      </w:r>
    </w:p>
    <w:p>
      <w:pPr>
        <w:pStyle w:val="ListBullet"/>
        <w:spacing w:after="80"/>
      </w:pPr>
      <w:r>
        <w:rPr>
          <w:rFonts w:ascii="Arial" w:hAnsi="Arial"/>
          <w:b w:val="0"/>
          <w:i w:val="0"/>
          <w:color w:val="282828"/>
          <w:sz w:val="20"/>
        </w:rPr>
        <w:t>Categorical features are encoded within the stored pipeline configuration; no report-time transformation modifies model outcomes.</w:t>
      </w:r>
    </w:p>
    <w:p>
      <w:pPr>
        <w:pStyle w:val="ListBullet"/>
        <w:spacing w:after="80"/>
      </w:pPr>
      <w:r>
        <w:rPr>
          <w:rFonts w:ascii="Arial" w:hAnsi="Arial"/>
          <w:b w:val="0"/>
          <w:i w:val="0"/>
          <w:color w:val="282828"/>
          <w:sz w:val="20"/>
        </w:rPr>
        <w:t>Fully missing development-slice features are automatically excluded before fitting, as documented in the integrity review.</w:t>
      </w:r>
    </w:p>
    <w:p>
      <w:pPr>
        <w:pStyle w:val="Heading1"/>
        <w:keepNext/>
        <w:spacing w:before="200" w:after="80"/>
      </w:pPr>
      <w:r>
        <w:rPr>
          <w:rFonts w:ascii="Arial" w:hAnsi="Arial"/>
          <w:b/>
          <w:i w:val="0"/>
          <w:color w:val="1F3A5F"/>
          <w:sz w:val="32"/>
        </w:rPr>
        <w:t>Chronological split and cross-validation</w:t>
      </w:r>
    </w:p>
    <w:p>
      <w:pPr>
        <w:pStyle w:val="ListBullet"/>
        <w:spacing w:after="80"/>
      </w:pPr>
      <w:r>
        <w:rPr>
          <w:rFonts w:ascii="Arial" w:hAnsi="Arial"/>
          <w:b w:val="0"/>
          <w:i w:val="0"/>
          <w:color w:val="282828"/>
          <w:sz w:val="20"/>
        </w:rPr>
        <w:t>Development rows: 100 with 60 positives.</w:t>
      </w:r>
    </w:p>
    <w:p>
      <w:pPr>
        <w:pStyle w:val="ListBullet"/>
        <w:spacing w:after="80"/>
      </w:pPr>
      <w:r>
        <w:rPr>
          <w:rFonts w:ascii="Arial" w:hAnsi="Arial"/>
          <w:b w:val="0"/>
          <w:i w:val="0"/>
          <w:color w:val="282828"/>
          <w:sz w:val="20"/>
        </w:rPr>
        <w:t>Holdout rows: 26 with 13 positives.</w:t>
      </w:r>
    </w:p>
    <w:p>
      <w:pPr>
        <w:pStyle w:val="ListBullet"/>
        <w:spacing w:after="80"/>
      </w:pPr>
      <w:r>
        <w:rPr>
          <w:rFonts w:ascii="Arial" w:hAnsi="Arial"/>
          <w:b w:val="0"/>
          <w:i w:val="0"/>
          <w:color w:val="282828"/>
          <w:sz w:val="20"/>
        </w:rPr>
        <w:t>Cross-validation fold counts and mean metrics are read directly from the stored model comparison artifact.</w:t>
      </w:r>
    </w:p>
    <w:p>
      <w:pPr>
        <w:pStyle w:val="Heading1"/>
        <w:keepNext/>
        <w:spacing w:before="200" w:after="80"/>
      </w:pPr>
      <w:r>
        <w:rPr>
          <w:rFonts w:ascii="Arial" w:hAnsi="Arial"/>
          <w:b/>
          <w:i w:val="0"/>
          <w:color w:val="1F3A5F"/>
          <w:sz w:val="32"/>
        </w:rPr>
        <w:t>Model configurations</w:t>
      </w:r>
    </w:p>
    <w:tbl>
      <w:tblPr>
        <w:tblW w:type="dxa" w:w="9648"/>
        <w:jc w:val="left"/>
        <w:tblLayout w:type="fixed"/>
        <w:tblLook w:firstColumn="1" w:firstRow="1" w:lastColumn="0" w:lastRow="0" w:noHBand="0" w:noVBand="1" w:val="04A0"/>
      </w:tblPr>
      <w:tblGrid>
        <w:gridCol w:w="3312"/>
        <w:gridCol w:w="3312"/>
        <w:gridCol w:w="3312"/>
      </w:tblGrid>
      <w:tr>
        <w:trPr>
          <w:trHeight w:hRule="atLeast"/>
          <w:cantSplit/>
          <w:tblHeader w:val="true"/>
        </w:trPr>
        <w:tc>
          <w:tcPr>
            <w:tcW w:type="dxa" w:w="2592"/>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Model</w:t>
            </w:r>
          </w:p>
        </w:tc>
        <w:tc>
          <w:tcPr>
            <w:tcW w:type="dxa" w:w="1296"/>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Status</w:t>
            </w:r>
          </w:p>
        </w:tc>
        <w:tc>
          <w:tcPr>
            <w:tcW w:type="dxa" w:w="576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Selected hyperparameters</w:t>
            </w:r>
          </w:p>
        </w:tc>
      </w:tr>
      <w:tr>
        <w:trPr>
          <w:trHeight w:hRule="atLeast"/>
          <w:cantSplit/>
        </w:trPr>
        <w:tc>
          <w:tcPr>
            <w:tcW w:type="dxa" w:w="25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Majority class rule</w:t>
            </w:r>
          </w:p>
        </w:tc>
        <w:tc>
          <w:tcPr>
            <w:tcW w:type="dxa" w:w="129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Success</w:t>
            </w:r>
          </w:p>
        </w:tc>
        <w:tc>
          <w:tcPr>
            <w:tcW w:type="dxa" w:w="57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Strategy: Majority Class Rule</w:t>
            </w:r>
          </w:p>
        </w:tc>
      </w:tr>
      <w:tr>
        <w:trPr>
          <w:trHeight w:hRule="atLeast"/>
          <w:cantSplit/>
        </w:trPr>
        <w:tc>
          <w:tcPr>
            <w:tcW w:type="dxa" w:w="25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Dummy classifier</w:t>
            </w:r>
          </w:p>
        </w:tc>
        <w:tc>
          <w:tcPr>
            <w:tcW w:type="dxa" w:w="129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Success</w:t>
            </w:r>
          </w:p>
        </w:tc>
        <w:tc>
          <w:tcPr>
            <w:tcW w:type="dxa" w:w="57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Constant: n/a; Random State: n/a; Strategy: prior</w:t>
            </w:r>
          </w:p>
        </w:tc>
      </w:tr>
      <w:tr>
        <w:trPr>
          <w:trHeight w:hRule="atLeast"/>
          <w:cantSplit/>
        </w:trPr>
        <w:tc>
          <w:tcPr>
            <w:tcW w:type="dxa" w:w="25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Logistic regression</w:t>
            </w:r>
          </w:p>
        </w:tc>
        <w:tc>
          <w:tcPr>
            <w:tcW w:type="dxa" w:w="129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Success</w:t>
            </w:r>
          </w:p>
        </w:tc>
        <w:tc>
          <w:tcPr>
            <w:tcW w:type="dxa" w:w="57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 1.0; Class Weight: n/a; Dual: No; Fit Intercept: Yes; Intercept Scaling: 1; L1 Ratio: 0.0; Max Iter: 500; N Jobs: n/a; Penalty: deprecated; Random State: 20260716; Solver: lbfgs; Tol: 0.0001; Verbo</w:t>
            </w:r>
          </w:p>
        </w:tc>
      </w:tr>
      <w:tr>
        <w:trPr>
          <w:trHeight w:hRule="atLeast"/>
          <w:cantSplit/>
        </w:trPr>
        <w:tc>
          <w:tcPr>
            <w:tcW w:type="dxa" w:w="25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Logistic regression (reduced)</w:t>
            </w:r>
          </w:p>
        </w:tc>
        <w:tc>
          <w:tcPr>
            <w:tcW w:type="dxa" w:w="129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Success</w:t>
            </w:r>
          </w:p>
        </w:tc>
        <w:tc>
          <w:tcPr>
            <w:tcW w:type="dxa" w:w="57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 1.0; Class Weight: n/a; Dual: No; Fit Intercept: Yes; Intercept Scaling: 1; L1 Ratio: 0.0; Max Iter: 500; N Jobs: n/a; Penalty: deprecated; Random State: 20260716; Solver: lbfgs; Tol: 0.0001; Verbo</w:t>
            </w:r>
          </w:p>
        </w:tc>
      </w:tr>
      <w:tr>
        <w:trPr>
          <w:trHeight w:hRule="atLeast"/>
          <w:cantSplit/>
        </w:trPr>
        <w:tc>
          <w:tcPr>
            <w:tcW w:type="dxa" w:w="25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Decision tree classifier</w:t>
            </w:r>
          </w:p>
        </w:tc>
        <w:tc>
          <w:tcPr>
            <w:tcW w:type="dxa" w:w="129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Success</w:t>
            </w:r>
          </w:p>
        </w:tc>
        <w:tc>
          <w:tcPr>
            <w:tcW w:type="dxa" w:w="57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Ccp Alpha: 0.0; Class Weight: n/a; Criterion: gini; Max Depth: 3; Max Features: n/a; Max Leaf Nodes: n/a; Min Impurity Decrease: 0.0; Min Samples Leaf: 4; Min Samples Split: 2; Min Weight Fraction Lea</w:t>
            </w:r>
          </w:p>
        </w:tc>
      </w:tr>
      <w:tr>
        <w:trPr>
          <w:trHeight w:hRule="atLeast"/>
          <w:cantSplit/>
        </w:trPr>
        <w:tc>
          <w:tcPr>
            <w:tcW w:type="dxa" w:w="25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Random forest classifier</w:t>
            </w:r>
          </w:p>
        </w:tc>
        <w:tc>
          <w:tcPr>
            <w:tcW w:type="dxa" w:w="129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Success</w:t>
            </w:r>
          </w:p>
        </w:tc>
        <w:tc>
          <w:tcPr>
            <w:tcW w:type="dxa" w:w="57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Bootstrap: Yes; Ccp Alpha: 0.0; Class Weight: n/a; Criterion: gini; Max Depth: 4; Max Features: sqrt; Max Leaf Nodes: n/a; Max Samples: n/a; Min Impurity Decrease: 0.0; Min Samples Leaf: 3; Min Sample</w:t>
            </w:r>
          </w:p>
        </w:tc>
      </w:tr>
      <w:tr>
        <w:trPr>
          <w:trHeight w:hRule="atLeast"/>
          <w:cantSplit/>
        </w:trPr>
        <w:tc>
          <w:tcPr>
            <w:tcW w:type="dxa" w:w="25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Histogram gradient boosting classifier</w:t>
            </w:r>
          </w:p>
        </w:tc>
        <w:tc>
          <w:tcPr>
            <w:tcW w:type="dxa" w:w="129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Success</w:t>
            </w:r>
          </w:p>
        </w:tc>
        <w:tc>
          <w:tcPr>
            <w:tcW w:type="dxa" w:w="57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Categorical Features: From Dtype; Class Weight: n/a; Early Stopping: auto; Interaction Cst: n/a; L2 Regularization: 0.0; Learning Rate: 0.08; Loss: Log Loss; Max Bins: 255; Max Depth: 3; Max Features:</w:t>
            </w:r>
          </w:p>
        </w:tc>
      </w:tr>
      <w:tr>
        <w:trPr>
          <w:trHeight w:hRule="atLeast"/>
          <w:cantSplit/>
        </w:trPr>
        <w:tc>
          <w:tcPr>
            <w:tcW w:type="dxa" w:w="25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Support vector classifier</w:t>
            </w:r>
          </w:p>
        </w:tc>
        <w:tc>
          <w:tcPr>
            <w:tcW w:type="dxa" w:w="129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Success</w:t>
            </w:r>
          </w:p>
        </w:tc>
        <w:tc>
          <w:tcPr>
            <w:tcW w:type="dxa" w:w="57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 1.0; Break Ties: No; Cache Size: 200; Class Weight: n/a; Coef0: 0.0; Decision Function Shape: ovr; Degree: 3; Gamma: scale; Kernel: rbf; Max Iter: -1; Probability: Yes; Random State: 20260716; Shri</w:t>
            </w:r>
          </w:p>
        </w:tc>
      </w:tr>
      <w:tr>
        <w:trPr>
          <w:trHeight w:hRule="atLeast"/>
          <w:cantSplit/>
        </w:trPr>
        <w:tc>
          <w:tcPr>
            <w:tcW w:type="dxa" w:w="25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K-nearest neighbors classifier</w:t>
            </w:r>
          </w:p>
        </w:tc>
        <w:tc>
          <w:tcPr>
            <w:tcW w:type="dxa" w:w="129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Success</w:t>
            </w:r>
          </w:p>
        </w:tc>
        <w:tc>
          <w:tcPr>
            <w:tcW w:type="dxa" w:w="57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Algorithm: auto; Leaf Size: 30; Metric: minkowski; Metric Params: n/a; N Jobs: n/a; N Neighbors: 5; P: 2; Weights: distance</w:t>
            </w:r>
          </w:p>
        </w:tc>
      </w:tr>
    </w:tbl>
    <w:p/>
    <w:p>
      <w:pPr>
        <w:pStyle w:val="Heading1"/>
        <w:keepNext/>
        <w:spacing w:before="200" w:after="80"/>
      </w:pPr>
      <w:r>
        <w:rPr>
          <w:rFonts w:ascii="Arial" w:hAnsi="Arial"/>
          <w:b/>
          <w:i w:val="0"/>
          <w:color w:val="1F3A5F"/>
          <w:sz w:val="32"/>
        </w:rPr>
        <w:t>Baseline and comparison results</w:t>
      </w:r>
    </w:p>
    <w:p>
      <w:r>
        <w:drawing>
          <wp:inline xmlns:a="http://schemas.openxmlformats.org/drawingml/2006/main" xmlns:pic="http://schemas.openxmlformats.org/drawingml/2006/picture">
            <wp:extent cx="6035040" cy="3637241"/>
            <wp:docPr id="4" name="Picture 4"/>
            <wp:cNvGraphicFramePr>
              <a:graphicFrameLocks noChangeAspect="1"/>
            </wp:cNvGraphicFramePr>
            <a:graphic>
              <a:graphicData uri="http://schemas.openxmlformats.org/drawingml/2006/picture">
                <pic:pic>
                  <pic:nvPicPr>
                    <pic:cNvPr id="0" name="model_metrics_6d2c112b69.png"/>
                    <pic:cNvPicPr/>
                  </pic:nvPicPr>
                  <pic:blipFill>
                    <a:blip r:embed="rId14"/>
                    <a:stretch>
                      <a:fillRect/>
                    </a:stretch>
                  </pic:blipFill>
                  <pic:spPr>
                    <a:xfrm>
                      <a:off x="0" y="0"/>
                      <a:ext cx="6035040" cy="3637241"/>
                    </a:xfrm>
                    <a:prstGeom prst="rect"/>
                  </pic:spPr>
                </pic:pic>
              </a:graphicData>
            </a:graphic>
          </wp:inline>
        </w:drawing>
      </w:r>
    </w:p>
    <w:p>
      <w:pPr>
        <w:spacing w:before="20" w:after="160"/>
      </w:pPr>
      <w:r>
        <w:rPr>
          <w:rFonts w:ascii="Arial" w:hAnsi="Arial"/>
          <w:b w:val="0"/>
          <w:i/>
          <w:color w:val="5A626F"/>
          <w:sz w:val="17"/>
        </w:rPr>
        <w:t>Figure 4. Model metric comparison snapshot using stored ROC AUC values.</w:t>
      </w:r>
    </w:p>
    <w:p>
      <w:r>
        <w:drawing>
          <wp:inline xmlns:a="http://schemas.openxmlformats.org/drawingml/2006/main" xmlns:pic="http://schemas.openxmlformats.org/drawingml/2006/picture">
            <wp:extent cx="6035040" cy="3648914"/>
            <wp:docPr id="5" name="Picture 5"/>
            <wp:cNvGraphicFramePr>
              <a:graphicFrameLocks noChangeAspect="1"/>
            </wp:cNvGraphicFramePr>
            <a:graphic>
              <a:graphicData uri="http://schemas.openxmlformats.org/drawingml/2006/picture">
                <pic:pic>
                  <pic:nvPicPr>
                    <pic:cNvPr id="0" name="runtime_6d2c112b69.png"/>
                    <pic:cNvPicPr/>
                  </pic:nvPicPr>
                  <pic:blipFill>
                    <a:blip r:embed="rId15"/>
                    <a:stretch>
                      <a:fillRect/>
                    </a:stretch>
                  </pic:blipFill>
                  <pic:spPr>
                    <a:xfrm>
                      <a:off x="0" y="0"/>
                      <a:ext cx="6035040" cy="3648914"/>
                    </a:xfrm>
                    <a:prstGeom prst="rect"/>
                  </pic:spPr>
                </pic:pic>
              </a:graphicData>
            </a:graphic>
          </wp:inline>
        </w:drawing>
      </w:r>
    </w:p>
    <w:p>
      <w:pPr>
        <w:spacing w:before="20" w:after="160"/>
      </w:pPr>
      <w:r>
        <w:rPr>
          <w:rFonts w:ascii="Arial" w:hAnsi="Arial"/>
          <w:b w:val="0"/>
          <w:i/>
          <w:color w:val="5A626F"/>
          <w:sz w:val="17"/>
        </w:rPr>
        <w:t>Figure 5. Training-runtime comparison from stored model outputs.</w:t>
      </w:r>
    </w:p>
    <w:p>
      <w:pPr>
        <w:pStyle w:val="Heading1"/>
        <w:keepNext/>
        <w:spacing w:before="200" w:after="80"/>
      </w:pPr>
      <w:r>
        <w:rPr>
          <w:rFonts w:ascii="Arial" w:hAnsi="Arial"/>
          <w:b/>
          <w:i w:val="0"/>
          <w:color w:val="1F3A5F"/>
          <w:sz w:val="32"/>
        </w:rPr>
        <w:t>Threshold analysis</w:t>
      </w:r>
    </w:p>
    <w:tbl>
      <w:tblPr>
        <w:tblW w:type="dxa" w:w="9647"/>
        <w:jc w:val="left"/>
        <w:tblLayout w:type="fixed"/>
        <w:tblLook w:firstColumn="1" w:firstRow="1" w:lastColumn="0" w:lastRow="0" w:noHBand="0" w:noVBand="1" w:val="04A0"/>
      </w:tblPr>
      <w:tblGrid>
        <w:gridCol w:w="4968"/>
        <w:gridCol w:w="4968"/>
      </w:tblGrid>
      <w:tr>
        <w:trPr>
          <w:trHeight w:hRule="atLeast"/>
          <w:cantSplit/>
          <w:tblHeader w:val="true"/>
        </w:trPr>
        <w:tc>
          <w:tcPr>
            <w:tcW w:type="dxa" w:w="3456"/>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Field</w:t>
            </w:r>
          </w:p>
        </w:tc>
        <w:tc>
          <w:tcPr>
            <w:tcW w:type="dxa" w:w="6192"/>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Value</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Primary ROC leader</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Random forest classifier</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Best thresholded classifier</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Random forest classifier</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Calibration leader</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Random forest classifier</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Best precision-recall ranking</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Random forest classifier</w:t>
            </w:r>
          </w:p>
        </w:tc>
      </w:tr>
    </w:tbl>
    <w:p/>
    <w:p>
      <w:r>
        <w:drawing>
          <wp:inline xmlns:a="http://schemas.openxmlformats.org/drawingml/2006/main" xmlns:pic="http://schemas.openxmlformats.org/drawingml/2006/picture">
            <wp:extent cx="3383280" cy="2843092"/>
            <wp:docPr id="6" name="Picture 6"/>
            <wp:cNvGraphicFramePr>
              <a:graphicFrameLocks noChangeAspect="1"/>
            </wp:cNvGraphicFramePr>
            <a:graphic>
              <a:graphicData uri="http://schemas.openxmlformats.org/drawingml/2006/picture">
                <pic:pic>
                  <pic:nvPicPr>
                    <pic:cNvPr id="0" name="baseline_confusion_6d2c112b69.png"/>
                    <pic:cNvPicPr/>
                  </pic:nvPicPr>
                  <pic:blipFill>
                    <a:blip r:embed="rId16"/>
                    <a:stretch>
                      <a:fillRect/>
                    </a:stretch>
                  </pic:blipFill>
                  <pic:spPr>
                    <a:xfrm>
                      <a:off x="0" y="0"/>
                      <a:ext cx="3383280" cy="2843092"/>
                    </a:xfrm>
                    <a:prstGeom prst="rect"/>
                  </pic:spPr>
                </pic:pic>
              </a:graphicData>
            </a:graphic>
          </wp:inline>
        </w:drawing>
      </w:r>
    </w:p>
    <w:p>
      <w:pPr>
        <w:spacing w:before="20" w:after="160"/>
      </w:pPr>
      <w:r>
        <w:rPr>
          <w:rFonts w:ascii="Arial" w:hAnsi="Arial"/>
          <w:b w:val="0"/>
          <w:i/>
          <w:color w:val="5A626F"/>
          <w:sz w:val="17"/>
        </w:rPr>
        <w:t>Figure 6. Confusion matrix for the stored baseline.</w:t>
      </w:r>
    </w:p>
    <w:p>
      <w:r>
        <w:drawing>
          <wp:inline xmlns:a="http://schemas.openxmlformats.org/drawingml/2006/main" xmlns:pic="http://schemas.openxmlformats.org/drawingml/2006/picture">
            <wp:extent cx="3383280" cy="2677175"/>
            <wp:docPr id="7" name="Picture 7"/>
            <wp:cNvGraphicFramePr>
              <a:graphicFrameLocks noChangeAspect="1"/>
            </wp:cNvGraphicFramePr>
            <a:graphic>
              <a:graphicData uri="http://schemas.openxmlformats.org/drawingml/2006/picture">
                <pic:pic>
                  <pic:nvPicPr>
                    <pic:cNvPr id="0" name="leader_confusion_6d2c112b69.png"/>
                    <pic:cNvPicPr/>
                  </pic:nvPicPr>
                  <pic:blipFill>
                    <a:blip r:embed="rId17"/>
                    <a:stretch>
                      <a:fillRect/>
                    </a:stretch>
                  </pic:blipFill>
                  <pic:spPr>
                    <a:xfrm>
                      <a:off x="0" y="0"/>
                      <a:ext cx="3383280" cy="2677175"/>
                    </a:xfrm>
                    <a:prstGeom prst="rect"/>
                  </pic:spPr>
                </pic:pic>
              </a:graphicData>
            </a:graphic>
          </wp:inline>
        </w:drawing>
      </w:r>
    </w:p>
    <w:p>
      <w:pPr>
        <w:spacing w:before="20" w:after="160"/>
      </w:pPr>
      <w:r>
        <w:rPr>
          <w:rFonts w:ascii="Arial" w:hAnsi="Arial"/>
          <w:b w:val="0"/>
          <w:i/>
          <w:color w:val="5A626F"/>
          <w:sz w:val="17"/>
        </w:rPr>
        <w:t>Figure 7. Confusion matrix for the primary ROC leader.</w:t>
      </w:r>
    </w:p>
    <w:p>
      <w:pPr>
        <w:pStyle w:val="Heading1"/>
        <w:keepNext/>
        <w:spacing w:before="200" w:after="80"/>
      </w:pPr>
      <w:r>
        <w:rPr>
          <w:rFonts w:ascii="Arial" w:hAnsi="Arial"/>
          <w:b/>
          <w:i w:val="0"/>
          <w:color w:val="1F3A5F"/>
          <w:sz w:val="32"/>
        </w:rPr>
        <w:t>ROC analysis</w:t>
      </w:r>
    </w:p>
    <w:p>
      <w:r>
        <w:drawing>
          <wp:inline xmlns:a="http://schemas.openxmlformats.org/drawingml/2006/main" xmlns:pic="http://schemas.openxmlformats.org/drawingml/2006/picture">
            <wp:extent cx="5852160" cy="3824577"/>
            <wp:docPr id="8" name="Picture 8"/>
            <wp:cNvGraphicFramePr>
              <a:graphicFrameLocks noChangeAspect="1"/>
            </wp:cNvGraphicFramePr>
            <a:graphic>
              <a:graphicData uri="http://schemas.openxmlformats.org/drawingml/2006/picture">
                <pic:pic>
                  <pic:nvPicPr>
                    <pic:cNvPr id="0" name="roc_curves_6d2c112b69.png"/>
                    <pic:cNvPicPr/>
                  </pic:nvPicPr>
                  <pic:blipFill>
                    <a:blip r:embed="rId18"/>
                    <a:stretch>
                      <a:fillRect/>
                    </a:stretch>
                  </pic:blipFill>
                  <pic:spPr>
                    <a:xfrm>
                      <a:off x="0" y="0"/>
                      <a:ext cx="5852160" cy="3824577"/>
                    </a:xfrm>
                    <a:prstGeom prst="rect"/>
                  </pic:spPr>
                </pic:pic>
              </a:graphicData>
            </a:graphic>
          </wp:inline>
        </w:drawing>
      </w:r>
    </w:p>
    <w:p>
      <w:pPr>
        <w:spacing w:before="20" w:after="160"/>
      </w:pPr>
      <w:r>
        <w:rPr>
          <w:rFonts w:ascii="Arial" w:hAnsi="Arial"/>
          <w:b w:val="0"/>
          <w:i/>
          <w:color w:val="5A626F"/>
          <w:sz w:val="17"/>
        </w:rPr>
        <w:t>Figure 9. ROC curves for score-capable stored models.</w:t>
      </w:r>
    </w:p>
    <w:p>
      <w:r>
        <w:rPr>
          <w:rFonts w:ascii="Arial" w:hAnsi="Arial"/>
          <w:b w:val="0"/>
          <w:i w:val="0"/>
          <w:color w:val="282828"/>
          <w:sz w:val="21"/>
        </w:rPr>
        <w:t>The comparison did not establish a statistically robust overall winner. Random Forest led several stored evaluation criteria, but the small holdout and single-teacher sample prevent a production-level conclusion.</w:t>
      </w:r>
    </w:p>
    <w:p>
      <w:pPr>
        <w:pStyle w:val="Heading1"/>
        <w:keepNext/>
        <w:spacing w:before="200" w:after="80"/>
      </w:pPr>
      <w:r>
        <w:rPr>
          <w:rFonts w:ascii="Arial" w:hAnsi="Arial"/>
          <w:b/>
          <w:i w:val="0"/>
          <w:color w:val="1F3A5F"/>
          <w:sz w:val="32"/>
        </w:rPr>
        <w:t>Precision-recall analysis</w:t>
      </w:r>
    </w:p>
    <w:p>
      <w:r>
        <w:drawing>
          <wp:inline xmlns:a="http://schemas.openxmlformats.org/drawingml/2006/main" xmlns:pic="http://schemas.openxmlformats.org/drawingml/2006/picture">
            <wp:extent cx="5852160" cy="3824577"/>
            <wp:docPr id="9" name="Picture 9"/>
            <wp:cNvGraphicFramePr>
              <a:graphicFrameLocks noChangeAspect="1"/>
            </wp:cNvGraphicFramePr>
            <a:graphic>
              <a:graphicData uri="http://schemas.openxmlformats.org/drawingml/2006/picture">
                <pic:pic>
                  <pic:nvPicPr>
                    <pic:cNvPr id="0" name="pr_curves_6d2c112b69.png"/>
                    <pic:cNvPicPr/>
                  </pic:nvPicPr>
                  <pic:blipFill>
                    <a:blip r:embed="rId19"/>
                    <a:stretch>
                      <a:fillRect/>
                    </a:stretch>
                  </pic:blipFill>
                  <pic:spPr>
                    <a:xfrm>
                      <a:off x="0" y="0"/>
                      <a:ext cx="5852160" cy="3824577"/>
                    </a:xfrm>
                    <a:prstGeom prst="rect"/>
                  </pic:spPr>
                </pic:pic>
              </a:graphicData>
            </a:graphic>
          </wp:inline>
        </w:drawing>
      </w:r>
    </w:p>
    <w:p>
      <w:pPr>
        <w:spacing w:before="20" w:after="160"/>
      </w:pPr>
      <w:r>
        <w:rPr>
          <w:rFonts w:ascii="Arial" w:hAnsi="Arial"/>
          <w:b w:val="0"/>
          <w:i/>
          <w:color w:val="5A626F"/>
          <w:sz w:val="17"/>
        </w:rPr>
        <w:t>Figure 10. Precision-recall curves for the same stored holdout predictions.</w:t>
      </w:r>
    </w:p>
    <w:p>
      <w:pPr>
        <w:pStyle w:val="Heading1"/>
        <w:keepNext/>
        <w:spacing w:before="200" w:after="80"/>
      </w:pPr>
      <w:r>
        <w:rPr>
          <w:rFonts w:ascii="Arial" w:hAnsi="Arial"/>
          <w:b/>
          <w:i w:val="0"/>
          <w:color w:val="1F3A5F"/>
          <w:sz w:val="32"/>
        </w:rPr>
        <w:t>Calibration analysis</w:t>
      </w:r>
    </w:p>
    <w:p>
      <w:r>
        <w:drawing>
          <wp:inline xmlns:a="http://schemas.openxmlformats.org/drawingml/2006/main" xmlns:pic="http://schemas.openxmlformats.org/drawingml/2006/picture">
            <wp:extent cx="5852160" cy="3824577"/>
            <wp:docPr id="10" name="Picture 10"/>
            <wp:cNvGraphicFramePr>
              <a:graphicFrameLocks noChangeAspect="1"/>
            </wp:cNvGraphicFramePr>
            <a:graphic>
              <a:graphicData uri="http://schemas.openxmlformats.org/drawingml/2006/picture">
                <pic:pic>
                  <pic:nvPicPr>
                    <pic:cNvPr id="0" name="calibration_curves_6d2c112b69.png"/>
                    <pic:cNvPicPr/>
                  </pic:nvPicPr>
                  <pic:blipFill>
                    <a:blip r:embed="rId20"/>
                    <a:stretch>
                      <a:fillRect/>
                    </a:stretch>
                  </pic:blipFill>
                  <pic:spPr>
                    <a:xfrm>
                      <a:off x="0" y="0"/>
                      <a:ext cx="5852160" cy="3824577"/>
                    </a:xfrm>
                    <a:prstGeom prst="rect"/>
                  </pic:spPr>
                </pic:pic>
              </a:graphicData>
            </a:graphic>
          </wp:inline>
        </w:drawing>
      </w:r>
    </w:p>
    <w:p>
      <w:pPr>
        <w:spacing w:before="20" w:after="160"/>
      </w:pPr>
      <w:r>
        <w:rPr>
          <w:rFonts w:ascii="Arial" w:hAnsi="Arial"/>
          <w:b w:val="0"/>
          <w:i/>
          <w:color w:val="5A626F"/>
          <w:sz w:val="17"/>
        </w:rPr>
        <w:t>Figure 11. Calibration curves derived from stored probabilities.</w:t>
      </w:r>
    </w:p>
    <w:p>
      <w:r>
        <w:drawing>
          <wp:inline xmlns:a="http://schemas.openxmlformats.org/drawingml/2006/main" xmlns:pic="http://schemas.openxmlformats.org/drawingml/2006/picture">
            <wp:extent cx="5852160" cy="3737112"/>
            <wp:docPr id="11" name="Picture 11"/>
            <wp:cNvGraphicFramePr>
              <a:graphicFrameLocks noChangeAspect="1"/>
            </wp:cNvGraphicFramePr>
            <a:graphic>
              <a:graphicData uri="http://schemas.openxmlformats.org/drawingml/2006/picture">
                <pic:pic>
                  <pic:nvPicPr>
                    <pic:cNvPr id="0" name="probability_distribution_6d2c112b69.png"/>
                    <pic:cNvPicPr/>
                  </pic:nvPicPr>
                  <pic:blipFill>
                    <a:blip r:embed="rId21"/>
                    <a:stretch>
                      <a:fillRect/>
                    </a:stretch>
                  </pic:blipFill>
                  <pic:spPr>
                    <a:xfrm>
                      <a:off x="0" y="0"/>
                      <a:ext cx="5852160" cy="3737112"/>
                    </a:xfrm>
                    <a:prstGeom prst="rect"/>
                  </pic:spPr>
                </pic:pic>
              </a:graphicData>
            </a:graphic>
          </wp:inline>
        </w:drawing>
      </w:r>
    </w:p>
    <w:p>
      <w:pPr>
        <w:spacing w:before="20" w:after="160"/>
      </w:pPr>
      <w:r>
        <w:rPr>
          <w:rFonts w:ascii="Arial" w:hAnsi="Arial"/>
          <w:b w:val="0"/>
          <w:i/>
          <w:color w:val="5A626F"/>
          <w:sz w:val="17"/>
        </w:rPr>
        <w:t>Figure 12. Predicted-probability distributions for the stored leader, threshold leader, and baseline.</w:t>
      </w:r>
    </w:p>
    <w:p>
      <w:pPr>
        <w:pStyle w:val="Heading1"/>
        <w:keepNext/>
        <w:spacing w:before="200" w:after="80"/>
      </w:pPr>
      <w:r>
        <w:rPr>
          <w:rFonts w:ascii="Arial" w:hAnsi="Arial"/>
          <w:b/>
          <w:i w:val="0"/>
          <w:color w:val="1F3A5F"/>
          <w:sz w:val="32"/>
        </w:rPr>
        <w:t>Error analysis</w:t>
      </w:r>
    </w:p>
    <w:p>
      <w:pPr>
        <w:pStyle w:val="ListBullet"/>
        <w:spacing w:after="80"/>
      </w:pPr>
      <w:r>
        <w:rPr>
          <w:rFonts w:ascii="Arial" w:hAnsi="Arial"/>
          <w:b w:val="0"/>
          <w:i w:val="0"/>
          <w:color w:val="282828"/>
          <w:sz w:val="20"/>
        </w:rPr>
        <w:t>False positives and false negatives can be inspected only through the stored anonymized holdout predictions; no raw user identifiers are exposed.</w:t>
      </w:r>
    </w:p>
    <w:p>
      <w:pPr>
        <w:pStyle w:val="ListBullet"/>
        <w:spacing w:after="80"/>
      </w:pPr>
      <w:r>
        <w:rPr>
          <w:rFonts w:ascii="Arial" w:hAnsi="Arial"/>
          <w:b w:val="0"/>
          <w:i w:val="0"/>
          <w:color w:val="282828"/>
          <w:sz w:val="20"/>
        </w:rPr>
        <w:t>Subgroup sample sizes are too small for strong technical claims by topic, student-history bucket, or resource type, so subgroup interpretation should remain descriptive only.</w:t>
      </w:r>
    </w:p>
    <w:p>
      <w:pPr>
        <w:pStyle w:val="ListBullet"/>
        <w:spacing w:after="80"/>
      </w:pPr>
      <w:r>
        <w:rPr>
          <w:rFonts w:ascii="Arial" w:hAnsi="Arial"/>
          <w:b w:val="0"/>
          <w:i w:val="0"/>
          <w:color w:val="282828"/>
          <w:sz w:val="20"/>
        </w:rPr>
        <w:t>The confusion matrices show that threshold choice changes the balance between misses and false alarms more than it changes the overall conclusion.</w:t>
      </w:r>
    </w:p>
    <w:p>
      <w:pPr>
        <w:pStyle w:val="Heading1"/>
        <w:keepNext/>
        <w:spacing w:before="200" w:after="80"/>
      </w:pPr>
      <w:r>
        <w:rPr>
          <w:rFonts w:ascii="Arial" w:hAnsi="Arial"/>
          <w:b/>
          <w:i w:val="0"/>
          <w:color w:val="1F3A5F"/>
          <w:sz w:val="32"/>
        </w:rPr>
        <w:t>Uncertainty and confidence intervals</w:t>
      </w:r>
    </w:p>
    <w:p>
      <w:pPr>
        <w:pStyle w:val="ListBullet"/>
        <w:spacing w:after="80"/>
      </w:pPr>
      <w:r>
        <w:rPr>
          <w:rFonts w:ascii="Arial" w:hAnsi="Arial"/>
          <w:b w:val="0"/>
          <w:i w:val="0"/>
          <w:color w:val="282828"/>
          <w:sz w:val="20"/>
        </w:rPr>
        <w:t>Confidence intervals are read from the stored model comparison CSV.</w:t>
      </w:r>
    </w:p>
    <w:p>
      <w:pPr>
        <w:pStyle w:val="ListBullet"/>
        <w:spacing w:after="80"/>
      </w:pPr>
      <w:r>
        <w:rPr>
          <w:rFonts w:ascii="Arial" w:hAnsi="Arial"/>
          <w:b w:val="0"/>
          <w:i w:val="0"/>
          <w:color w:val="282828"/>
          <w:sz w:val="20"/>
        </w:rPr>
        <w:t>Small holdout size and single-teacher coverage mean all uncertainty intervals should be interpreted conservatively.</w:t>
      </w:r>
    </w:p>
    <w:p>
      <w:pPr>
        <w:pStyle w:val="ListBullet"/>
        <w:spacing w:after="80"/>
      </w:pPr>
      <w:r>
        <w:rPr>
          <w:rFonts w:ascii="Arial" w:hAnsi="Arial"/>
          <w:b w:val="0"/>
          <w:i w:val="0"/>
          <w:color w:val="282828"/>
          <w:sz w:val="20"/>
        </w:rPr>
        <w:t>Stored overall verdict: Validated - no robust winner.</w:t>
      </w:r>
    </w:p>
    <w:p>
      <w:pPr>
        <w:pStyle w:val="Heading1"/>
        <w:keepNext/>
        <w:spacing w:before="200" w:after="80"/>
      </w:pPr>
      <w:r>
        <w:rPr>
          <w:rFonts w:ascii="Arial" w:hAnsi="Arial"/>
          <w:b/>
          <w:i w:val="0"/>
          <w:color w:val="1F3A5F"/>
          <w:sz w:val="32"/>
        </w:rPr>
        <w:t>Runtime and resource performance</w:t>
      </w:r>
    </w:p>
    <w:p>
      <w:r>
        <w:rPr>
          <w:rFonts w:ascii="Arial" w:hAnsi="Arial"/>
          <w:b w:val="0"/>
          <w:i w:val="0"/>
          <w:color w:val="282828"/>
          <w:sz w:val="21"/>
        </w:rPr>
        <w:t>Training and inference durations are reported directly from the validated model comparison artifact and shown in Figure 5.</w:t>
      </w:r>
    </w:p>
    <w:p>
      <w:pPr>
        <w:pStyle w:val="Heading1"/>
        <w:keepNext/>
        <w:spacing w:before="200" w:after="80"/>
      </w:pPr>
      <w:r>
        <w:rPr>
          <w:rFonts w:ascii="Arial" w:hAnsi="Arial"/>
          <w:b/>
          <w:i w:val="0"/>
          <w:color w:val="1F3A5F"/>
          <w:sz w:val="32"/>
        </w:rPr>
        <w:t>Integrity-review results</w:t>
      </w:r>
    </w:p>
    <w:p>
      <w:pPr>
        <w:pStyle w:val="ListBullet"/>
        <w:spacing w:after="80"/>
      </w:pPr>
      <w:r>
        <w:rPr>
          <w:rFonts w:ascii="Arial" w:hAnsi="Arial"/>
          <w:b w:val="0"/>
          <w:i w:val="0"/>
          <w:color w:val="282828"/>
          <w:sz w:val="20"/>
        </w:rPr>
        <w:t>The validated review concludes that this run is suitable as a technical evidence package, but not as a deployment decision.</w:t>
      </w:r>
    </w:p>
    <w:p>
      <w:pPr>
        <w:pStyle w:val="ListBullet"/>
        <w:spacing w:after="80"/>
      </w:pPr>
      <w:r>
        <w:rPr>
          <w:rFonts w:ascii="Arial" w:hAnsi="Arial"/>
          <w:b w:val="0"/>
          <w:i w:val="0"/>
          <w:color w:val="282828"/>
          <w:sz w:val="20"/>
        </w:rPr>
        <w:t>All intended models executed successfully in the validated run.</w:t>
      </w:r>
    </w:p>
    <w:p>
      <w:pPr>
        <w:pStyle w:val="ListBullet"/>
        <w:spacing w:after="80"/>
      </w:pPr>
      <w:r>
        <w:rPr>
          <w:rFonts w:ascii="Arial" w:hAnsi="Arial"/>
          <w:b w:val="0"/>
          <w:i w:val="0"/>
          <w:color w:val="282828"/>
          <w:sz w:val="20"/>
        </w:rPr>
        <w:t>Artifact consistency checks confirmed shared run ID and data fingerprint across stored outputs.</w:t>
      </w:r>
    </w:p>
    <w:p>
      <w:pPr>
        <w:pStyle w:val="Heading1"/>
        <w:keepNext/>
        <w:spacing w:before="200" w:after="80"/>
      </w:pPr>
      <w:r>
        <w:rPr>
          <w:rFonts w:ascii="Arial" w:hAnsi="Arial"/>
          <w:b/>
          <w:i w:val="0"/>
          <w:color w:val="1F3A5F"/>
          <w:sz w:val="32"/>
        </w:rPr>
        <w:t>Conclusions</w:t>
      </w:r>
    </w:p>
    <w:tbl>
      <w:tblPr>
        <w:tblW w:type="dxa" w:w="9648"/>
        <w:jc w:val="left"/>
        <w:tblLayout w:type="fixed"/>
        <w:tblLook w:firstColumn="1" w:firstRow="1" w:lastColumn="0" w:lastRow="0" w:noHBand="0" w:noVBand="1" w:val="04A0"/>
      </w:tblPr>
      <w:tblGrid>
        <w:gridCol w:w="9936"/>
      </w:tblGrid>
      <w:tr>
        <w:tc>
          <w:tcPr>
            <w:tcW w:type="dxa" w:w="9648"/>
            <w:shd w:fill="F6F8FB"/>
            <w:tcMar>
              <w:top w:w="110" w:type="dxa"/>
              <w:bottom w:w="110" w:type="dxa"/>
              <w:left w:w="140" w:type="dxa"/>
              <w:right w:w="140" w:type="dxa"/>
            </w:tcMar>
          </w:tcPr>
          <w:p>
            <w:pPr>
              <w:spacing w:after="40"/>
            </w:pPr>
            <w:r>
              <w:rPr>
                <w:rFonts w:ascii="Arial" w:hAnsi="Arial"/>
                <w:b/>
                <w:i w:val="0"/>
                <w:color w:val="1F3A5F"/>
                <w:sz w:val="20"/>
              </w:rPr>
              <w:t>Interpretation</w:t>
            </w:r>
          </w:p>
          <w:p>
            <w:pPr>
              <w:spacing w:after="0"/>
            </w:pPr>
            <w:r>
              <w:rPr>
                <w:rFonts w:ascii="Arial" w:hAnsi="Arial"/>
                <w:b w:val="0"/>
                <w:i w:val="0"/>
                <w:color w:val="323232"/>
                <w:sz w:val="20"/>
              </w:rPr>
              <w:t>The current results are exploratory and do not support a definitive conclusion due to the limited dataset. While the model structure is functional for future evaluation, the current evidence is insufficient to confirm high-confidence predictive performance across broader populations.</w:t>
            </w:r>
          </w:p>
        </w:tc>
      </w:tr>
    </w:tbl>
    <w:p/>
    <w:p>
      <w:pPr>
        <w:pStyle w:val="Heading1"/>
        <w:keepNext/>
        <w:spacing w:before="200" w:after="80"/>
      </w:pPr>
      <w:r>
        <w:rPr>
          <w:rFonts w:ascii="Arial" w:hAnsi="Arial"/>
          <w:b/>
          <w:i w:val="0"/>
          <w:color w:val="1F3A5F"/>
          <w:sz w:val="32"/>
        </w:rPr>
        <w:t>Reproducibility</w:t>
      </w:r>
    </w:p>
    <w:p>
      <w:pPr>
        <w:pStyle w:val="ListBullet"/>
        <w:spacing w:after="80"/>
      </w:pPr>
      <w:r>
        <w:rPr>
          <w:rFonts w:ascii="Arial" w:hAnsi="Arial"/>
          <w:b w:val="0"/>
          <w:i w:val="0"/>
          <w:color w:val="282828"/>
          <w:sz w:val="20"/>
        </w:rPr>
        <w:t>Run ID: ebcf382089d2</w:t>
      </w:r>
    </w:p>
    <w:p>
      <w:pPr>
        <w:pStyle w:val="ListBullet"/>
        <w:spacing w:after="80"/>
      </w:pPr>
      <w:r>
        <w:rPr>
          <w:rFonts w:ascii="Arial" w:hAnsi="Arial"/>
          <w:b w:val="0"/>
          <w:i w:val="0"/>
          <w:color w:val="282828"/>
          <w:sz w:val="20"/>
        </w:rPr>
        <w:t>Dataset fingerprint: 6725ffb449deb229c08f83469e2d3b0a32c68fea72e519a1d18f621f9028c5a4</w:t>
      </w:r>
    </w:p>
    <w:p>
      <w:pPr>
        <w:pStyle w:val="ListBullet"/>
        <w:spacing w:after="80"/>
      </w:pPr>
      <w:r>
        <w:rPr>
          <w:rFonts w:ascii="Arial" w:hAnsi="Arial"/>
          <w:b w:val="0"/>
          <w:i w:val="0"/>
          <w:color w:val="282828"/>
          <w:sz w:val="20"/>
        </w:rPr>
        <w:t>Feature schema version: Assigned Resource Open 7d V1</w:t>
      </w:r>
    </w:p>
    <w:p>
      <w:pPr>
        <w:pStyle w:val="ListBullet"/>
        <w:spacing w:after="80"/>
      </w:pPr>
      <w:r>
        <w:rPr>
          <w:rFonts w:ascii="Arial" w:hAnsi="Arial"/>
          <w:b w:val="0"/>
          <w:i w:val="0"/>
          <w:color w:val="282828"/>
          <w:sz w:val="20"/>
        </w:rPr>
        <w:t>This report was generated from stored artifacts only; it does not recompute training metrics independently.</w:t>
      </w:r>
    </w:p>
    <w:p>
      <w:pPr>
        <w:pStyle w:val="Heading1"/>
        <w:keepNext/>
        <w:spacing w:before="200" w:after="80"/>
      </w:pPr>
      <w:r>
        <w:rPr>
          <w:rFonts w:ascii="Arial" w:hAnsi="Arial"/>
          <w:b/>
          <w:i w:val="0"/>
          <w:color w:val="1F3A5F"/>
          <w:sz w:val="32"/>
        </w:rPr>
        <w:t>Business implementation implications</w:t>
      </w:r>
    </w:p>
    <w:tbl>
      <w:tblPr>
        <w:tblW w:type="dxa" w:w="9648"/>
        <w:jc w:val="left"/>
        <w:tblLayout w:type="fixed"/>
        <w:tblLook w:firstColumn="1" w:firstRow="1" w:lastColumn="0" w:lastRow="0" w:noHBand="0" w:noVBand="1" w:val="04A0"/>
      </w:tblPr>
      <w:tblGrid>
        <w:gridCol w:w="9936"/>
      </w:tblGrid>
      <w:tr>
        <w:tc>
          <w:tcPr>
            <w:tcW w:type="dxa" w:w="9648"/>
            <w:shd w:fill="F6F8FB"/>
            <w:tcMar>
              <w:top w:w="110" w:type="dxa"/>
              <w:bottom w:w="110" w:type="dxa"/>
              <w:left w:w="140" w:type="dxa"/>
              <w:right w:w="140" w:type="dxa"/>
            </w:tcMar>
          </w:tcPr>
          <w:p>
            <w:pPr>
              <w:spacing w:after="40"/>
            </w:pPr>
            <w:r>
              <w:rPr>
                <w:rFonts w:ascii="Arial" w:hAnsi="Arial"/>
                <w:b/>
                <w:i w:val="0"/>
                <w:color w:val="1F3A5F"/>
                <w:sz w:val="20"/>
              </w:rPr>
              <w:t>Interpretation</w:t>
            </w:r>
          </w:p>
          <w:p>
            <w:pPr>
              <w:spacing w:after="0"/>
            </w:pPr>
            <w:r>
              <w:rPr>
                <w:rFonts w:ascii="Arial" w:hAnsi="Arial"/>
                <w:b w:val="0"/>
                <w:i w:val="0"/>
                <w:color w:val="323232"/>
                <w:sz w:val="20"/>
              </w:rPr>
              <w:t>Implementation is currently limited to exploratory testing. Future deployment should focus on expanding teacher coverage to increase dataset volume and improve model maturity.</w:t>
            </w:r>
          </w:p>
        </w:tc>
      </w:tr>
    </w:tbl>
    <w:p/>
    <w:p>
      <w:pPr>
        <w:pStyle w:val="Heading1"/>
        <w:keepNext/>
        <w:spacing w:before="200" w:after="80"/>
      </w:pPr>
      <w:r>
        <w:rPr>
          <w:rFonts w:ascii="Arial" w:hAnsi="Arial"/>
          <w:b/>
          <w:i w:val="0"/>
          <w:color w:val="1F3A5F"/>
          <w:sz w:val="32"/>
        </w:rPr>
        <w:t>Limitations</w:t>
      </w:r>
    </w:p>
    <w:p>
      <w:pPr>
        <w:pStyle w:val="ListBullet"/>
        <w:spacing w:after="80"/>
      </w:pPr>
      <w:r>
        <w:rPr>
          <w:rFonts w:ascii="Arial" w:hAnsi="Arial"/>
          <w:b w:val="0"/>
          <w:i w:val="0"/>
          <w:color w:val="282828"/>
          <w:sz w:val="20"/>
        </w:rPr>
        <w:t>No additional validated risks were recorded for this run.</w:t>
      </w:r>
    </w:p>
    <w:p>
      <w:pPr>
        <w:pStyle w:val="Heading1"/>
        <w:keepNext/>
        <w:spacing w:before="200" w:after="80"/>
      </w:pPr>
      <w:r>
        <w:rPr>
          <w:rFonts w:ascii="Arial" w:hAnsi="Arial"/>
          <w:b/>
          <w:i w:val="0"/>
          <w:color w:val="1F3A5F"/>
          <w:sz w:val="32"/>
        </w:rPr>
        <w:t>Appendix</w:t>
      </w:r>
    </w:p>
    <w:p>
      <w:pPr>
        <w:pStyle w:val="Heading2"/>
        <w:keepNext/>
        <w:spacing w:before="120" w:after="80"/>
      </w:pPr>
      <w:r>
        <w:rPr>
          <w:rFonts w:ascii="Arial" w:hAnsi="Arial"/>
          <w:b/>
          <w:i w:val="0"/>
          <w:color w:val="1F3A5F"/>
          <w:sz w:val="26"/>
        </w:rPr>
        <w:t>Artifact manifest</w:t>
      </w:r>
    </w:p>
    <w:tbl>
      <w:tblPr>
        <w:tblW w:type="dxa" w:w="9648"/>
        <w:jc w:val="left"/>
        <w:tblLayout w:type="fixed"/>
        <w:tblLook w:firstColumn="1" w:firstRow="1" w:lastColumn="0" w:lastRow="0" w:noHBand="0" w:noVBand="1" w:val="04A0"/>
      </w:tblPr>
      <w:tblGrid>
        <w:gridCol w:w="1987"/>
        <w:gridCol w:w="1987"/>
        <w:gridCol w:w="1987"/>
        <w:gridCol w:w="1987"/>
        <w:gridCol w:w="1987"/>
      </w:tblGrid>
      <w:tr>
        <w:trPr>
          <w:trHeight w:hRule="atLeast"/>
          <w:cantSplit/>
          <w:tblHeader w:val="true"/>
        </w:trPr>
        <w:tc>
          <w:tcPr>
            <w:tcW w:type="dxa" w:w="216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Artifact</w:t>
            </w:r>
          </w:p>
        </w:tc>
        <w:tc>
          <w:tcPr>
            <w:tcW w:type="dxa" w:w="360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Purpose</w:t>
            </w:r>
          </w:p>
        </w:tc>
        <w:tc>
          <w:tcPr>
            <w:tcW w:type="dxa" w:w="1007"/>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Format</w:t>
            </w:r>
          </w:p>
        </w:tc>
        <w:tc>
          <w:tcPr>
            <w:tcW w:type="dxa" w:w="144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Checksum</w:t>
            </w:r>
          </w:p>
        </w:tc>
        <w:tc>
          <w:tcPr>
            <w:tcW w:type="dxa" w:w="144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Availability</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Dataset Summary JSON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Dataset accounting and counts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json</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905c78f640</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Yes</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Feature Audit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Feature availability audit</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6292c9064a</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Yes</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Findings Interpretation Report Markdown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Findings interpretation markdown baseline</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md</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a08e1b6e6b</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Yes</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Frozen Dataset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Stored supporting artifact</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6725ffb449</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Yes</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Holdout Predictions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Stored holdout probabilities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56781ff543</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Yes</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Integrity Review Markdown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Stored supporting artifact</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md</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901c6fcc8d</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Yes</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Label Audit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Stored supporting artifact</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eae2a413ad</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Yes</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Label Reconciliation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Label reconciliation review</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dc324cf04e</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Yes</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Model Comparison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Stored model metrics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c3908eadda</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Yes</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Run Summary JSON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Validated run summary</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json</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e7cca38047</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Yes</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Technical Report Markdown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Technical markdown baseline</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md</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2a2eb389f3</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Yes</w:t>
            </w:r>
          </w:p>
        </w:tc>
      </w:tr>
    </w:tbl>
    <w:p>
      <w:pPr>
        <w:spacing w:before="20" w:after="160"/>
      </w:pPr>
      <w:r>
        <w:rPr>
          <w:rFonts w:ascii="Arial" w:hAnsi="Arial"/>
          <w:b w:val="0"/>
          <w:i/>
          <w:color w:val="5A626F"/>
          <w:sz w:val="17"/>
        </w:rPr>
        <w:t>Artifact manifest summarizing the technical evidence package without exposing repository paths.</w:t>
      </w:r>
    </w:p>
    <w:p/>
    <w:p>
      <w:r>
        <w:rPr>
          <w:rFonts w:ascii="Arial" w:hAnsi="Arial"/>
          <w:b w:val="0"/>
          <w:i w:val="0"/>
          <w:color w:val="5A626F"/>
          <w:sz w:val="21"/>
        </w:rPr>
        <w:t>Stored filename: assigned_resource_open_7d_dataset_summary.json</w:t>
      </w:r>
    </w:p>
    <w:p>
      <w:r>
        <w:rPr>
          <w:rFonts w:ascii="Arial" w:hAnsi="Arial"/>
          <w:b w:val="0"/>
          <w:i w:val="0"/>
          <w:color w:val="5A626F"/>
          <w:sz w:val="21"/>
        </w:rPr>
        <w:t>Stored filename: assigned_resource_open_7d_feature_audit.csv</w:t>
      </w:r>
    </w:p>
    <w:p>
      <w:r>
        <w:rPr>
          <w:rFonts w:ascii="Arial" w:hAnsi="Arial"/>
          <w:b w:val="0"/>
          <w:i w:val="0"/>
          <w:color w:val="5A626F"/>
          <w:sz w:val="21"/>
        </w:rPr>
        <w:t>Stored filename: assigned_resource_open_7d_findings_interpretation_report.md</w:t>
      </w:r>
    </w:p>
    <w:p>
      <w:r>
        <w:rPr>
          <w:rFonts w:ascii="Arial" w:hAnsi="Arial"/>
          <w:b w:val="0"/>
          <w:i w:val="0"/>
          <w:color w:val="5A626F"/>
          <w:sz w:val="21"/>
        </w:rPr>
        <w:t>Stored filename: assigned_resource_open_7d_dataset_frozen.csv</w:t>
      </w:r>
    </w:p>
    <w:p>
      <w:r>
        <w:rPr>
          <w:rFonts w:ascii="Arial" w:hAnsi="Arial"/>
          <w:b w:val="0"/>
          <w:i w:val="0"/>
          <w:color w:val="5A626F"/>
          <w:sz w:val="21"/>
        </w:rPr>
        <w:t>Stored filename: assigned_resource_open_7d_holdout_predictions.csv</w:t>
      </w:r>
    </w:p>
    <w:p>
      <w:r>
        <w:rPr>
          <w:rFonts w:ascii="Arial" w:hAnsi="Arial"/>
          <w:b w:val="0"/>
          <w:i w:val="0"/>
          <w:color w:val="5A626F"/>
          <w:sz w:val="21"/>
        </w:rPr>
        <w:t>Stored filename: assigned_resource_open_7d_integrity_review.md</w:t>
      </w:r>
    </w:p>
    <w:p>
      <w:r>
        <w:rPr>
          <w:rFonts w:ascii="Arial" w:hAnsi="Arial"/>
          <w:b w:val="0"/>
          <w:i w:val="0"/>
          <w:color w:val="5A626F"/>
          <w:sz w:val="21"/>
        </w:rPr>
        <w:t>Stored filename: assigned_resource_open_7d_label_audit.csv</w:t>
      </w:r>
    </w:p>
    <w:p>
      <w:r>
        <w:rPr>
          <w:rFonts w:ascii="Arial" w:hAnsi="Arial"/>
          <w:b w:val="0"/>
          <w:i w:val="0"/>
          <w:color w:val="5A626F"/>
          <w:sz w:val="21"/>
        </w:rPr>
        <w:t>Stored filename: assigned_resource_open_7d_label_reconciliation.csv</w:t>
      </w:r>
    </w:p>
    <w:p>
      <w:r>
        <w:rPr>
          <w:rFonts w:ascii="Arial" w:hAnsi="Arial"/>
          <w:b w:val="0"/>
          <w:i w:val="0"/>
          <w:color w:val="5A626F"/>
          <w:sz w:val="21"/>
        </w:rPr>
        <w:t>Stored filename: assigned_resource_open_7d_model_comparison.csv</w:t>
      </w:r>
    </w:p>
    <w:p>
      <w:r>
        <w:rPr>
          <w:rFonts w:ascii="Arial" w:hAnsi="Arial"/>
          <w:b w:val="0"/>
          <w:i w:val="0"/>
          <w:color w:val="5A626F"/>
          <w:sz w:val="21"/>
        </w:rPr>
        <w:t>Stored filename: assigned_resource_open_7d_run_summary.json</w:t>
      </w:r>
    </w:p>
    <w:p>
      <w:r>
        <w:rPr>
          <w:rFonts w:ascii="Arial" w:hAnsi="Arial"/>
          <w:b w:val="0"/>
          <w:i w:val="0"/>
          <w:color w:val="5A626F"/>
          <w:sz w:val="21"/>
        </w:rPr>
        <w:t>Stored filename: assigned_resource_open_7d_technical_report.md</w:t>
      </w:r>
    </w:p>
    <w:p>
      <w:pPr>
        <w:pStyle w:val="Heading2"/>
        <w:keepNext/>
        <w:spacing w:before="120" w:after="80"/>
      </w:pPr>
      <w:r>
        <w:rPr>
          <w:rFonts w:ascii="Arial" w:hAnsi="Arial"/>
          <w:b/>
          <w:i w:val="0"/>
          <w:color w:val="1F3A5F"/>
          <w:sz w:val="26"/>
        </w:rPr>
        <w:t>Meeting Notes and Decision Record</w:t>
      </w:r>
    </w:p>
    <w:tbl>
      <w:tblPr>
        <w:tblW w:type="dxa" w:w="9648"/>
        <w:jc w:val="left"/>
        <w:tblLayout w:type="fixed"/>
        <w:tblLook w:firstColumn="1" w:firstRow="1" w:lastColumn="0" w:lastRow="0" w:noHBand="0" w:noVBand="1" w:val="04A0"/>
      </w:tblPr>
      <w:tblGrid>
        <w:gridCol w:w="4968"/>
        <w:gridCol w:w="4968"/>
      </w:tblGrid>
      <w:tr>
        <w:trPr>
          <w:trHeight w:hRule="atLeast"/>
          <w:cantSplit/>
          <w:tblHeader w:val="true"/>
        </w:trPr>
        <w:tc>
          <w:tcPr>
            <w:tcW w:type="dxa" w:w="3168"/>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Field</w:t>
            </w:r>
          </w:p>
        </w:tc>
        <w:tc>
          <w:tcPr>
            <w:tcW w:type="dxa" w:w="648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Value</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Proposed decision</w:t>
            </w:r>
          </w:p>
        </w:tc>
        <w:tc>
          <w:tcPr>
            <w:tcW w:type="dxa" w:w="648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mejorar el sistema de recomendación del profesor</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Decision owner</w:t>
            </w:r>
          </w:p>
        </w:tc>
        <w:tc>
          <w:tcPr>
            <w:tcW w:type="dxa" w:w="648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Anthony Gonzalez</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Review date</w:t>
            </w:r>
          </w:p>
        </w:tc>
        <w:tc>
          <w:tcPr>
            <w:tcW w:type="dxa" w:w="648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enero de 2027</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Additional comments</w:t>
            </w:r>
          </w:p>
        </w:tc>
        <w:tc>
          <w:tcPr>
            <w:tcW w:type="dxa" w:w="648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La base de datos es muy limitada de momento, pero la estructura funciona bien para evaluar el modelo en el futuro.</w:t>
            </w:r>
          </w:p>
        </w:tc>
      </w:tr>
    </w:tbl>
    <w:p/>
    <w:p>
      <w:pPr>
        <w:sectPr>
          <w:headerReference w:type="default" r:id="rId9"/>
          <w:footerReference w:type="default" r:id="rId10"/>
          <w:pgSz w:w="12240" w:h="15840"/>
          <w:pgMar w:top="1152" w:right="1152" w:bottom="1080" w:left="1152" w:header="504" w:footer="504" w:gutter="0"/>
          <w:cols w:space="720"/>
          <w:docGrid w:linePitch="360"/>
        </w:sectPr>
      </w:pPr>
    </w:p>
    <w:p>
      <w:pPr>
        <w:pStyle w:val="Heading2"/>
        <w:keepNext/>
        <w:spacing w:before="120" w:after="80"/>
      </w:pPr>
      <w:r>
        <w:rPr>
          <w:rFonts w:ascii="Arial" w:hAnsi="Arial"/>
          <w:b/>
          <w:i w:val="0"/>
          <w:color w:val="1F3A5F"/>
          <w:sz w:val="26"/>
        </w:rPr>
        <w:t>Full model comparison</w:t>
      </w:r>
    </w:p>
    <w:p>
      <w:pPr>
        <w:pStyle w:val="Heading3"/>
        <w:keepNext/>
        <w:spacing w:before="120" w:after="80"/>
      </w:pPr>
      <w:r>
        <w:rPr>
          <w:rFonts w:ascii="Arial" w:hAnsi="Arial"/>
          <w:b/>
          <w:i w:val="0"/>
          <w:color w:val="17807E"/>
          <w:sz w:val="23"/>
        </w:rPr>
        <w:t>Discrimination and ranking</w:t>
      </w:r>
    </w:p>
    <w:tbl>
      <w:tblPr>
        <w:tblW w:type="dxa" w:w="11952"/>
        <w:jc w:val="left"/>
        <w:tblLayout w:type="fixed"/>
        <w:tblLook w:firstColumn="1" w:firstRow="1" w:lastColumn="0" w:lastRow="0" w:noHBand="0" w:noVBand="1" w:val="04A0"/>
      </w:tblPr>
      <w:tblGrid>
        <w:gridCol w:w="2280"/>
        <w:gridCol w:w="2280"/>
        <w:gridCol w:w="2280"/>
        <w:gridCol w:w="2280"/>
        <w:gridCol w:w="2280"/>
        <w:gridCol w:w="2280"/>
      </w:tblGrid>
      <w:tr>
        <w:trPr>
          <w:trHeight w:hRule="atLeast"/>
          <w:cantSplit/>
          <w:tblHeader w:val="true"/>
        </w:trPr>
        <w:tc>
          <w:tcPr>
            <w:tcW w:type="dxa" w:w="3168"/>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Model</w:t>
            </w:r>
          </w:p>
        </w:tc>
        <w:tc>
          <w:tcPr>
            <w:tcW w:type="dxa" w:w="1728"/>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ROC AUC</w:t>
            </w:r>
          </w:p>
        </w:tc>
        <w:tc>
          <w:tcPr>
            <w:tcW w:type="dxa" w:w="1728"/>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Average precision</w:t>
            </w:r>
          </w:p>
        </w:tc>
        <w:tc>
          <w:tcPr>
            <w:tcW w:type="dxa" w:w="1728"/>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Balanced accuracy</w:t>
            </w:r>
          </w:p>
        </w:tc>
        <w:tc>
          <w:tcPr>
            <w:tcW w:type="dxa" w:w="144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F1</w:t>
            </w:r>
          </w:p>
        </w:tc>
        <w:tc>
          <w:tcPr>
            <w:tcW w:type="dxa" w:w="216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Delta vs dummy ROC AUC</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Majority class rule</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0.7233416342111993</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0.6666666666666666</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Dummy classifier</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0.7233416342111993</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0.6666666666666666</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Logistic regression</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0.4911242603550296</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0.4795688650213536</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0.3846153846153846</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0.2</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-0.0088757396449704</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Logistic regression (reduced)</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0.6686390532544378</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0.6500564328767473</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0.5384615384615385</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0.25</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0.1686390532544378</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Decision tree classifier</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0.5710059171597633</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0.5491823869020821</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0.4347826086956522</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0.0710059171597633</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Random forest classifier</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0.7751479289940828</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0.8507264344722537</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0.7307692307692308</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0.7407407407407408</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0.2751479289940828</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Histogram gradient boosting classifier</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0.5976331360946746</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0.5608946850251199</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0.6923076923076923</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0.7142857142857142</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0.0976331360946746</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Support vector classifier</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0.591715976331361</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0.7418006269093227</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0.5769230769230769</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0.5925925925925927</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0.0917159763313609</w:t>
            </w:r>
          </w:p>
        </w:tc>
      </w:tr>
      <w:tr>
        <w:trPr>
          <w:trHeight w:hRule="atLeast"/>
          <w:cantSplit/>
        </w:trPr>
        <w:tc>
          <w:tcPr>
            <w:tcW w:type="dxa" w:w="316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K-nearest neighbors classifier</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0.6094674556213018</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0.7267185670254724</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0.5517241379310345</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0.1094674556213017</w:t>
            </w:r>
          </w:p>
        </w:tc>
      </w:tr>
    </w:tbl>
    <w:p>
      <w:pPr>
        <w:spacing w:before="20" w:after="160"/>
      </w:pPr>
      <w:r>
        <w:rPr>
          <w:rFonts w:ascii="Arial" w:hAnsi="Arial"/>
          <w:b w:val="0"/>
          <w:i/>
          <w:color w:val="5A626F"/>
          <w:sz w:val="17"/>
        </w:rPr>
        <w:t>Readable comparison of stored supervised models using the validated run artifacts.</w:t>
      </w:r>
    </w:p>
    <w:p/>
    <w:p>
      <w:pPr>
        <w:pStyle w:val="Heading3"/>
        <w:keepNext/>
        <w:spacing w:before="120" w:after="80"/>
      </w:pPr>
      <w:r>
        <w:rPr>
          <w:rFonts w:ascii="Arial" w:hAnsi="Arial"/>
          <w:b/>
          <w:i w:val="0"/>
          <w:color w:val="17807E"/>
          <w:sz w:val="23"/>
        </w:rPr>
        <w:t>Calibration and thresholding</w:t>
      </w:r>
    </w:p>
    <w:tbl>
      <w:tblPr>
        <w:tblW w:type="dxa" w:w="12096"/>
        <w:jc w:val="left"/>
        <w:tblLayout w:type="fixed"/>
        <w:tblLook w:firstColumn="1" w:firstRow="1" w:lastColumn="0" w:lastRow="0" w:noHBand="0" w:noVBand="1" w:val="04A0"/>
      </w:tblPr>
      <w:tblGrid>
        <w:gridCol w:w="2280"/>
        <w:gridCol w:w="2280"/>
        <w:gridCol w:w="2280"/>
        <w:gridCol w:w="2280"/>
        <w:gridCol w:w="2280"/>
        <w:gridCol w:w="2280"/>
      </w:tblGrid>
      <w:tr>
        <w:trPr>
          <w:trHeight w:hRule="atLeast"/>
          <w:cantSplit/>
          <w:tblHeader w:val="true"/>
        </w:trPr>
        <w:tc>
          <w:tcPr>
            <w:tcW w:type="dxa" w:w="3024"/>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Model</w:t>
            </w:r>
          </w:p>
        </w:tc>
        <w:tc>
          <w:tcPr>
            <w:tcW w:type="dxa" w:w="1728"/>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Log loss</w:t>
            </w:r>
          </w:p>
        </w:tc>
        <w:tc>
          <w:tcPr>
            <w:tcW w:type="dxa" w:w="1728"/>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Brier score</w:t>
            </w:r>
          </w:p>
        </w:tc>
        <w:tc>
          <w:tcPr>
            <w:tcW w:type="dxa" w:w="2015"/>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Predicted positive rate</w:t>
            </w:r>
          </w:p>
        </w:tc>
        <w:tc>
          <w:tcPr>
            <w:tcW w:type="dxa" w:w="144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Best F1</w:t>
            </w:r>
          </w:p>
        </w:tc>
        <w:tc>
          <w:tcPr>
            <w:tcW w:type="dxa" w:w="216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Best balanced accuracy</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Majority class rule</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0.713558177820073</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0.26</w:t>
            </w:r>
          </w:p>
        </w:tc>
        <w:tc>
          <w:tcPr>
            <w:tcW w:type="dxa" w:w="2015"/>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1.0</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0.6666666666666666</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Dummy classifier</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0.713558177820073</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0.26</w:t>
            </w:r>
          </w:p>
        </w:tc>
        <w:tc>
          <w:tcPr>
            <w:tcW w:type="dxa" w:w="2015"/>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1.0</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0.6666666666666666</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Logistic regression</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1.180388592324232</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0.4011212271393161</w:t>
            </w:r>
          </w:p>
        </w:tc>
        <w:tc>
          <w:tcPr>
            <w:tcW w:type="dxa" w:w="2015"/>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0.2692307692307692</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0.7096774193548387</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0.6538461538461539</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Logistic regression (reduced)</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0.942149463018076</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0.3231121058664956</w:t>
            </w:r>
          </w:p>
        </w:tc>
        <w:tc>
          <w:tcPr>
            <w:tcW w:type="dxa" w:w="2015"/>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0.1153846153846153</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0.8125000000000001</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0.7692307692307692</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Decision tree classifier</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0.9636787885103064</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0.3490541193853108</w:t>
            </w:r>
          </w:p>
        </w:tc>
        <w:tc>
          <w:tcPr>
            <w:tcW w:type="dxa" w:w="2015"/>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0.3846153846153846</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0.6666666666666666</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0.6923076923076923</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Random forest classifier</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0.6113182513397637</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0.2108542582106922</w:t>
            </w:r>
          </w:p>
        </w:tc>
        <w:tc>
          <w:tcPr>
            <w:tcW w:type="dxa" w:w="2015"/>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0.5384615384615384</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0.6842105263157895</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0.6923076923076923</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Histogram gradient boosting classifier</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0.7080518565629549</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0.2527560426022929</w:t>
            </w:r>
          </w:p>
        </w:tc>
        <w:tc>
          <w:tcPr>
            <w:tcW w:type="dxa" w:w="2015"/>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0.5769230769230769</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0.6842105263157895</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0.576923076923077</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Support vector classifier</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0.7038006156870968</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0.2538600452369084</w:t>
            </w:r>
          </w:p>
        </w:tc>
        <w:tc>
          <w:tcPr>
            <w:tcW w:type="dxa" w:w="2015"/>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0.5384615384615384</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0.6666666666666666</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0.7307692307692308</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K-nearest neighbors classifier</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0.6648033018425353</w:t>
            </w:r>
          </w:p>
        </w:tc>
        <w:tc>
          <w:tcPr>
            <w:tcW w:type="dxa" w:w="1728"/>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0.2504107988805867</w:t>
            </w:r>
          </w:p>
        </w:tc>
        <w:tc>
          <w:tcPr>
            <w:tcW w:type="dxa" w:w="2015"/>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0.6153846153846154</w:t>
            </w:r>
          </w:p>
        </w:tc>
        <w:tc>
          <w:tcPr>
            <w:tcW w:type="dxa" w:w="144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0.6842105263157895</w:t>
            </w:r>
          </w:p>
        </w:tc>
        <w:tc>
          <w:tcPr>
            <w:tcW w:type="dxa" w:w="2160"/>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0.6923076923076923</w:t>
            </w:r>
          </w:p>
        </w:tc>
      </w:tr>
    </w:tbl>
    <w:p>
      <w:pPr>
        <w:spacing w:before="20" w:after="160"/>
      </w:pPr>
      <w:r>
        <w:rPr>
          <w:rFonts w:ascii="Arial" w:hAnsi="Arial"/>
          <w:b w:val="0"/>
          <w:i/>
          <w:color w:val="5A626F"/>
          <w:sz w:val="17"/>
        </w:rPr>
        <w:t>Readable comparison of stored supervised models using the validated run artifacts.</w:t>
      </w:r>
    </w:p>
    <w:p/>
    <w:p>
      <w:pPr>
        <w:pStyle w:val="Heading3"/>
        <w:keepNext/>
        <w:spacing w:before="120" w:after="80"/>
      </w:pPr>
      <w:r>
        <w:rPr>
          <w:rFonts w:ascii="Arial" w:hAnsi="Arial"/>
          <w:b/>
          <w:i w:val="0"/>
          <w:color w:val="17807E"/>
          <w:sz w:val="23"/>
        </w:rPr>
        <w:t>Runtime and status</w:t>
      </w:r>
    </w:p>
    <w:tbl>
      <w:tblPr>
        <w:tblW w:type="dxa" w:w="13420"/>
        <w:jc w:val="left"/>
        <w:tblLayout w:type="fixed"/>
        <w:tblLook w:firstColumn="1" w:firstRow="1" w:lastColumn="0" w:lastRow="0" w:noHBand="0" w:noVBand="1" w:val="04A0"/>
      </w:tblPr>
      <w:tblGrid>
        <w:gridCol w:w="2280"/>
        <w:gridCol w:w="2280"/>
        <w:gridCol w:w="2280"/>
        <w:gridCol w:w="2280"/>
        <w:gridCol w:w="2280"/>
        <w:gridCol w:w="2280"/>
      </w:tblGrid>
      <w:tr>
        <w:trPr>
          <w:trHeight w:hRule="atLeast"/>
          <w:cantSplit/>
          <w:tblHeader w:val="true"/>
        </w:trPr>
        <w:tc>
          <w:tcPr>
            <w:tcW w:type="dxa" w:w="2998"/>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Model</w:t>
            </w:r>
          </w:p>
        </w:tc>
        <w:tc>
          <w:tcPr>
            <w:tcW w:type="dxa" w:w="1713"/>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Status</w:t>
            </w:r>
          </w:p>
        </w:tc>
        <w:tc>
          <w:tcPr>
            <w:tcW w:type="dxa" w:w="2141"/>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CV primary metric mean</w:t>
            </w:r>
          </w:p>
        </w:tc>
        <w:tc>
          <w:tcPr>
            <w:tcW w:type="dxa" w:w="2141"/>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CV primary metric variance</w:t>
            </w:r>
          </w:p>
        </w:tc>
        <w:tc>
          <w:tcPr>
            <w:tcW w:type="dxa" w:w="2141"/>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Train duration (s)</w:t>
            </w:r>
          </w:p>
        </w:tc>
        <w:tc>
          <w:tcPr>
            <w:tcW w:type="dxa" w:w="2284"/>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8"/>
              </w:rPr>
              <w:t>Inference duration (s)</w:t>
            </w:r>
          </w:p>
        </w:tc>
      </w:tr>
      <w:tr>
        <w:trPr>
          <w:trHeight w:hRule="atLeast"/>
          <w:cantSplit/>
        </w:trPr>
        <w:tc>
          <w:tcPr>
            <w:tcW w:type="dxa" w:w="299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Majority class rule</w:t>
            </w:r>
          </w:p>
        </w:tc>
        <w:tc>
          <w:tcPr>
            <w:tcW w:type="dxa" w:w="1713"/>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Success</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w:t>
            </w:r>
          </w:p>
        </w:tc>
        <w:tc>
          <w:tcPr>
            <w:tcW w:type="dxa" w:w="2284"/>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w:t>
            </w:r>
          </w:p>
        </w:tc>
      </w:tr>
      <w:tr>
        <w:trPr>
          <w:trHeight w:hRule="atLeast"/>
          <w:cantSplit/>
        </w:trPr>
        <w:tc>
          <w:tcPr>
            <w:tcW w:type="dxa" w:w="299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Dummy classifier</w:t>
            </w:r>
          </w:p>
        </w:tc>
        <w:tc>
          <w:tcPr>
            <w:tcW w:type="dxa" w:w="1713"/>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Success</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0.0033144589979201</w:t>
            </w:r>
          </w:p>
        </w:tc>
        <w:tc>
          <w:tcPr>
            <w:tcW w:type="dxa" w:w="2284"/>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0.0025230830069631</w:t>
            </w:r>
          </w:p>
        </w:tc>
      </w:tr>
      <w:tr>
        <w:trPr>
          <w:trHeight w:hRule="atLeast"/>
          <w:cantSplit/>
        </w:trPr>
        <w:tc>
          <w:tcPr>
            <w:tcW w:type="dxa" w:w="299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Logistic regression</w:t>
            </w:r>
          </w:p>
        </w:tc>
        <w:tc>
          <w:tcPr>
            <w:tcW w:type="dxa" w:w="1713"/>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Success</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0.5574314574314574</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0.0157121826385895</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0.0048862919793464</w:t>
            </w:r>
          </w:p>
        </w:tc>
        <w:tc>
          <w:tcPr>
            <w:tcW w:type="dxa" w:w="2284"/>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0.0017651669913902</w:t>
            </w:r>
          </w:p>
        </w:tc>
      </w:tr>
      <w:tr>
        <w:trPr>
          <w:trHeight w:hRule="atLeast"/>
          <w:cantSplit/>
        </w:trPr>
        <w:tc>
          <w:tcPr>
            <w:tcW w:type="dxa" w:w="299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Logistic regression (reduced)</w:t>
            </w:r>
          </w:p>
        </w:tc>
        <w:tc>
          <w:tcPr>
            <w:tcW w:type="dxa" w:w="1713"/>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Success</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0.5773160173160173</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0.0178323278132801</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0.0037060829927213</w:t>
            </w:r>
          </w:p>
        </w:tc>
        <w:tc>
          <w:tcPr>
            <w:tcW w:type="dxa" w:w="2284"/>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0.0013539590290747</w:t>
            </w:r>
          </w:p>
        </w:tc>
      </w:tr>
      <w:tr>
        <w:trPr>
          <w:trHeight w:hRule="atLeast"/>
          <w:cantSplit/>
        </w:trPr>
        <w:tc>
          <w:tcPr>
            <w:tcW w:type="dxa" w:w="299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Decision tree classifier</w:t>
            </w:r>
          </w:p>
        </w:tc>
        <w:tc>
          <w:tcPr>
            <w:tcW w:type="dxa" w:w="1713"/>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Success</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0.4927272727272728</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0.0002115702479338</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0.0037010840023867</w:t>
            </w:r>
          </w:p>
        </w:tc>
        <w:tc>
          <w:tcPr>
            <w:tcW w:type="dxa" w:w="2284"/>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0.001708583033178</w:t>
            </w:r>
          </w:p>
        </w:tc>
      </w:tr>
      <w:tr>
        <w:trPr>
          <w:trHeight w:hRule="atLeast"/>
          <w:cantSplit/>
        </w:trPr>
        <w:tc>
          <w:tcPr>
            <w:tcW w:type="dxa" w:w="299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Random forest classifier</w:t>
            </w:r>
          </w:p>
        </w:tc>
        <w:tc>
          <w:tcPr>
            <w:tcW w:type="dxa" w:w="1713"/>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Success</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0.5679942279942279</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0.0265621242313882</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0.0309458749834448</w:t>
            </w:r>
          </w:p>
        </w:tc>
        <w:tc>
          <w:tcPr>
            <w:tcW w:type="dxa" w:w="2284"/>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0.0037122500361874</w:t>
            </w:r>
          </w:p>
        </w:tc>
      </w:tr>
      <w:tr>
        <w:trPr>
          <w:trHeight w:hRule="atLeast"/>
          <w:cantSplit/>
        </w:trPr>
        <w:tc>
          <w:tcPr>
            <w:tcW w:type="dxa" w:w="299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Histogram gradient boosting classifier</w:t>
            </w:r>
          </w:p>
        </w:tc>
        <w:tc>
          <w:tcPr>
            <w:tcW w:type="dxa" w:w="1713"/>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Success</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0.4985858585858586</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0.0102559330680542</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0.0596622499870136</w:t>
            </w:r>
          </w:p>
        </w:tc>
        <w:tc>
          <w:tcPr>
            <w:tcW w:type="dxa" w:w="2284"/>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0.0038669999921694</w:t>
            </w:r>
          </w:p>
        </w:tc>
      </w:tr>
      <w:tr>
        <w:trPr>
          <w:trHeight w:hRule="atLeast"/>
          <w:cantSplit/>
        </w:trPr>
        <w:tc>
          <w:tcPr>
            <w:tcW w:type="dxa" w:w="299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Support vector classifier</w:t>
            </w:r>
          </w:p>
        </w:tc>
        <w:tc>
          <w:tcPr>
            <w:tcW w:type="dxa" w:w="1713"/>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Success</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0.5438095238095239</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0.0167736619961728</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0.00595775002148</w:t>
            </w:r>
          </w:p>
        </w:tc>
        <w:tc>
          <w:tcPr>
            <w:tcW w:type="dxa" w:w="2284"/>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0.0020606670295819</w:t>
            </w:r>
          </w:p>
        </w:tc>
      </w:tr>
      <w:tr>
        <w:trPr>
          <w:trHeight w:hRule="atLeast"/>
          <w:cantSplit/>
        </w:trPr>
        <w:tc>
          <w:tcPr>
            <w:tcW w:type="dxa" w:w="2998"/>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K-nearest neighbors classifier</w:t>
            </w:r>
          </w:p>
        </w:tc>
        <w:tc>
          <w:tcPr>
            <w:tcW w:type="dxa" w:w="1713"/>
            <w:tcMar>
              <w:top w:w="80" w:type="dxa"/>
              <w:bottom w:w="80" w:type="dxa"/>
              <w:left w:w="120" w:type="dxa"/>
              <w:right w:w="120" w:type="dxa"/>
            </w:tcMar>
            <w:vAlign w:val="center"/>
          </w:tcPr>
          <w:p>
            <w:pPr>
              <w:spacing w:after="40" w:line="252" w:lineRule="auto"/>
              <w:jc w:val="left"/>
            </w:pPr>
            <w:r>
              <w:rPr>
                <w:rFonts w:ascii="Arial" w:hAnsi="Arial"/>
                <w:b w:val="0"/>
                <w:i w:val="0"/>
                <w:color w:val="2D2D2D"/>
                <w:sz w:val="17"/>
              </w:rPr>
              <w:t>Success</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0.5688600288600287</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0.0078327900734827</w:t>
            </w:r>
          </w:p>
        </w:tc>
        <w:tc>
          <w:tcPr>
            <w:tcW w:type="dxa" w:w="2141"/>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0.0047499579959549</w:t>
            </w:r>
          </w:p>
        </w:tc>
        <w:tc>
          <w:tcPr>
            <w:tcW w:type="dxa" w:w="2284"/>
            <w:tcMar>
              <w:top w:w="80" w:type="dxa"/>
              <w:bottom w:w="80" w:type="dxa"/>
              <w:left w:w="120" w:type="dxa"/>
              <w:right w:w="120" w:type="dxa"/>
            </w:tcMar>
            <w:vAlign w:val="center"/>
          </w:tcPr>
          <w:p>
            <w:pPr>
              <w:spacing w:after="40" w:line="252" w:lineRule="auto"/>
              <w:jc w:val="right"/>
            </w:pPr>
            <w:r>
              <w:rPr>
                <w:rFonts w:ascii="Arial" w:hAnsi="Arial"/>
                <w:b w:val="0"/>
                <w:i w:val="0"/>
                <w:color w:val="2D2D2D"/>
                <w:sz w:val="17"/>
              </w:rPr>
              <w:t>0.0022733340156264</w:t>
            </w:r>
          </w:p>
        </w:tc>
      </w:tr>
    </w:tbl>
    <w:p>
      <w:pPr>
        <w:spacing w:before="20" w:after="160"/>
      </w:pPr>
      <w:r>
        <w:rPr>
          <w:rFonts w:ascii="Arial" w:hAnsi="Arial"/>
          <w:b w:val="0"/>
          <w:i/>
          <w:color w:val="5A626F"/>
          <w:sz w:val="17"/>
        </w:rPr>
        <w:t>Readable comparison of stored supervised models using the validated run artifacts.</w:t>
      </w:r>
    </w:p>
    <w:p/>
    <w:sectPr w:rsidR="00FC693F" w:rsidRPr="0006063C" w:rsidSect="00034616">
      <w:headerReference w:type="default" r:id="rId22"/>
      <w:footerReference w:type="default" r:id="rId23"/>
      <w:pgSz w:w="15840" w:h="12240" w:orient="landscape"/>
      <w:pgMar w:top="936" w:right="1080" w:bottom="936"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b w:val="0"/>
        <w:i w:val="0"/>
        <w:color w:val="5A626F"/>
        <w:sz w:val="16"/>
      </w:rPr>
      <w:t xml:space="preserve">Validated internal report ·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b w:val="0"/>
        <w:i w:val="0"/>
        <w:color w:val="5A626F"/>
        <w:sz w:val="16"/>
      </w:rPr>
      <w:t xml:space="preserve">Validated internal report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rial" w:hAnsi="Arial"/>
        <w:b w:val="0"/>
        <w:i w:val="0"/>
        <w:color w:val="5A626F"/>
        <w:sz w:val="17"/>
      </w:rPr>
      <w:t>Classio · Technical Data Science Report · ebcf382089d2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rial" w:hAnsi="Arial"/>
        <w:b w:val="0"/>
        <w:i w:val="0"/>
        <w:color w:val="5A626F"/>
        <w:sz w:val="17"/>
      </w:rPr>
      <w:t>Classio · Technical Data Science Report · ebcf382089d2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7807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rial" w:hAnsi="Arial"/>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b/>
      <w:i/>
      <w:iCs/>
      <w:color w:val="5A626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header" Target="header2.xml"/><Relationship Id="rId2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