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Técnico de Ciencia de Datos</w:t>
      </w:r>
    </w:p>
    <w:p>
      <w:pPr>
        <w:spacing w:after="320"/>
        <w:jc w:val="center"/>
      </w:pPr>
      <w:r>
        <w:rPr>
          <w:rFonts w:ascii="Arial" w:hAnsi="Arial"/>
          <w:b w:val="0"/>
          <w:i w:val="0"/>
          <w:color w:val="5A626F"/>
          <w:sz w:val="22"/>
        </w:rPr>
        <w:t>Paquete de validación técnica para revisores internos autorizados.</w:t>
      </w:r>
    </w:p>
    <w:p>
      <w:pPr>
        <w:spacing w:after="320"/>
        <w:jc w:val="center"/>
      </w:pPr>
      <w:r>
        <w:rPr>
          <w:rFonts w:ascii="Arial" w:hAnsi="Arial"/>
          <w:b/>
          <w:i w:val="0"/>
          <w:color w:val="17807E"/>
          <w:sz w:val="21"/>
        </w:rPr>
        <w:t>Estado de validación: Validado - sin un ganador concluyente</w:t>
      </w:r>
    </w:p>
    <w:p>
      <w:pPr>
        <w:spacing w:after="80"/>
        <w:jc w:val="center"/>
      </w:pPr>
      <w:r>
        <w:rPr>
          <w:rFonts w:ascii="Arial" w:hAnsi="Arial"/>
          <w:b w:val="0"/>
          <w:i w:val="0"/>
          <w:color w:val="5A626F"/>
          <w:sz w:val="20"/>
        </w:rPr>
        <w:t>Generado el 20/07/2026 08:57</w:t>
      </w:r>
    </w:p>
    <w:p>
      <w:pPr>
        <w:spacing w:after="80"/>
        <w:jc w:val="center"/>
      </w:pPr>
      <w:r>
        <w:rPr>
          <w:rFonts w:ascii="Arial" w:hAnsi="Arial"/>
          <w:b w:val="0"/>
          <w:i w:val="0"/>
          <w:color w:val="5A626F"/>
          <w:sz w:val="20"/>
        </w:rPr>
        <w:t>Ejecución validada: ebcf382089d2</w:t>
      </w:r>
    </w:p>
    <w:p>
      <w:pPr>
        <w:spacing w:after="80"/>
        <w:jc w:val="center"/>
      </w:pPr>
      <w:r>
        <w:rPr>
          <w:rFonts w:ascii="Arial" w:hAnsi="Arial"/>
          <w:b w:val="0"/>
          <w:i w:val="0"/>
          <w:color w:val="5A626F"/>
          <w:sz w:val="20"/>
        </w:rPr>
        <w:t>Huella del conjunto de datos: 6725ffb449de...</w:t>
      </w:r>
    </w:p>
    <w:p>
      <w:r>
        <w:br w:type="page"/>
      </w:r>
    </w:p>
    <w:p>
      <w:pPr>
        <w:pStyle w:val="Heading1"/>
        <w:keepNext/>
        <w:spacing w:before="200" w:after="80"/>
      </w:pPr>
      <w:r>
        <w:rPr>
          <w:rFonts w:ascii="Arial" w:hAnsi="Arial"/>
          <w:b/>
          <w:i w:val="0"/>
          <w:color w:val="1F3A5F"/>
          <w:sz w:val="32"/>
        </w:rPr>
        <w:t>Resumen de decisión</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Experimento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assigned_resource_open_within_7d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profesores a menudo asignan recursos que los estudiantes pasan por alto. Si Classio puede predecir las tareas que serán ignoradas antes de que ocurran, la plataforma podría recomendar automáticamente recursos alternativos o sugerir la intervención del profesor. Por lo tanto, ¿puede Classio predecir si un estudiante abrirá un recurso asignado dentro de los siete días posteriores a su asignación?</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mejorar el sistema de recomendación del profesor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Estado actual de la evidencia</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Evidencia validada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Ganador robusto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Modelo líder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Disparador de la próxima revisión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cuando más profesores utilicen la aplicación</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Persona o equipo responsable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Anthony Gonzalez</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Limitación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Actualmente, el experimento cuenta con solo un docente utilizando la aplicación, lo que limita la generalización de los resultados.</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La decisión bajo consideración es continuar recopilando datos mientras se expande la cobertura docente. El experimento actual apoya la mejora del sistema de recomendación del profesor, con el objetivo de lograr una mayor retención a través de recomendaciones más precisas. El siguiente examen está programado para enero de 2027, cuando más profesores utilicen la aplicación, con Anthony Gonzalez como responsable.</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Qué dice la evidencia</w:t>
            </w:r>
          </w:p>
          <w:p>
            <w:pPr>
              <w:spacing w:after="0"/>
            </w:pPr>
            <w:r>
              <w:rPr>
                <w:rFonts w:ascii="Arial" w:hAnsi="Arial"/>
                <w:b w:val="0"/>
                <w:i w:val="0"/>
                <w:color w:val="323232"/>
                <w:sz w:val="20"/>
              </w:rPr>
              <w:t>El experimento asignado_resource_open_within_7d evaluó si Classio puede predecir si un estudiante abrirá un recurso asignado dentro de los siete días posteriores a la asignación. Con 126 filas (73 positivas, 53 negativas) de un solo profesor, 15 estudiantes y 61 recursos, el RandomForestClassifier lideró las métricas primarias, el mejor modelo con umbral, el mejor ranking de precisión-recall y la calibración. El estado VALIDATED_NO_ROBUST_WINNER y el veredicto EXPLORATORY_ONLY indican que si bien la evidencia es válida, no hay un ganador claro y el estudio es aún exploratorio. La principal limitación es el reducido número de profesores (uno), lo que restringe la generalización. Además, el modelo no demuestra de manera fiel qué recursos no son abiertos específicamente debido a su contenido.</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Qué no demuestra</w:t>
            </w:r>
          </w:p>
          <w:p>
            <w:pPr>
              <w:spacing w:after="0"/>
            </w:pPr>
            <w:r>
              <w:rPr>
                <w:rFonts w:ascii="Arial" w:hAnsi="Arial"/>
                <w:b w:val="0"/>
                <w:i w:val="0"/>
                <w:color w:val="323232"/>
                <w:sz w:val="20"/>
              </w:rPr>
              <w:t>El modelo no prueba de manera fiel qué recursos no son abiertos específicamente debido a su contenido. Esto significa que, aunque se puedan predecir aperturas, los motivos subyacentes de la inacción siguen siendo desconocidos, limitando la capacidad para atribuir el incumplimiento a factores específicos del recurso.</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Qué debe hacer Classio después</w:t>
            </w:r>
          </w:p>
          <w:p>
            <w:pPr>
              <w:spacing w:after="0"/>
            </w:pPr>
            <w:r>
              <w:rPr>
                <w:rFonts w:ascii="Arial" w:hAnsi="Arial"/>
                <w:b w:val="0"/>
                <w:i w:val="0"/>
                <w:color w:val="323232"/>
                <w:sz w:val="20"/>
              </w:rPr>
              <w:t>Para avanzar, se debe ampliar la captación de profesores para enriquecer la base de datos, lo que permitirá evaluar modelos más diversos y validar la robustez de las predicciones. También es esencial continuar recopilando etiquetas maduras y mejorar la cobertura de telemetría para las superficies de recomendación relacionadas. Estas acciones abordarán la limitación actual y apoyarán el objetivo de expandir la cobertura docente.</w:t>
            </w:r>
          </w:p>
        </w:tc>
      </w:tr>
    </w:tbl>
    <w:p/>
    <w:p>
      <w:pPr>
        <w:pStyle w:val="Heading1"/>
        <w:keepNext/>
        <w:spacing w:before="200" w:after="80"/>
      </w:pPr>
      <w:r>
        <w:rPr>
          <w:rFonts w:ascii="Arial" w:hAnsi="Arial"/>
          <w:b/>
          <w:i w:val="0"/>
          <w:color w:val="1F3A5F"/>
          <w:sz w:val="32"/>
        </w:rPr>
        <w:t>Contexto de negocio y educativo</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31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33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Por qué se está evaluando este experimento</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profesores a menudo asignan recursos que los estudiantes pasan por alto. Si Classio puede predecir las tareas que serán ignoradas antes de que ocurran, la plataforma podría recomendar automáticamente recursos alternativos o sugerir la intervención del profesor. Por lo tanto, ¿puede Classio predecir si un estudiante abrirá un recurso asignado dentro de los siete días posteriores a su asignación?</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mejorar el sistema de recomendación del profesor</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mayor retención</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Impacto en producto</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mejoras en el sistema de recomendación</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Definición de éxito</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capacidad predictiva en sí</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Evidencia mínima requerida</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capacidad predictiva en sí</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Riesgos</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frecuencia con la que los estudiantes tienen sus clases</w:t>
            </w:r>
          </w:p>
        </w:tc>
      </w:tr>
    </w:tbl>
    <w:p/>
    <w:p>
      <w:pPr>
        <w:pStyle w:val="Heading1"/>
        <w:keepNext/>
        <w:spacing w:before="200" w:after="80"/>
      </w:pPr>
      <w:r>
        <w:rPr>
          <w:rFonts w:ascii="Arial" w:hAnsi="Arial"/>
          <w:b/>
          <w:i w:val="0"/>
          <w:color w:val="1F3A5F"/>
          <w:sz w:val="32"/>
        </w:rPr>
        <w:t>Scorecard de preparación de negocio</w:t>
      </w:r>
    </w:p>
    <w:tbl>
      <w:tblPr>
        <w:tblW w:type="dxa" w:w="9647"/>
        <w:jc w:val="left"/>
        <w:tblLayout w:type="fixed"/>
        <w:tblLook w:firstColumn="1" w:firstRow="1" w:lastColumn="0" w:lastRow="0" w:noHBand="0" w:noVBand="1" w:val="04A0"/>
      </w:tblPr>
      <w:tblGrid>
        <w:gridCol w:w="3312"/>
        <w:gridCol w:w="3312"/>
        <w:gridCol w:w="3312"/>
      </w:tblGrid>
      <w:tr>
        <w:trPr>
          <w:trHeight w:hRule="atLeast"/>
          <w:cantSplit/>
          <w:tblHeader w:val="true"/>
        </w:trPr>
        <w:tc>
          <w:tcPr>
            <w:tcW w:type="dxa" w:w="230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Dimensión</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Estado</w:t>
            </w:r>
          </w:p>
        </w:tc>
        <w:tc>
          <w:tcPr>
            <w:tcW w:type="dxa" w:w="590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Interpretación</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Cobertura de datos</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126 etiquetas</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Diversidad docente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Limitada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 docente(s)</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Preparación de variables</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auditoría almacenada de variables está disponible.</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Discriminación del modelo</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comparación no estableció un ganador global estadísticamente robusto. Random Forest lideró varios criterios almacenados, pero el holdout pequeño y la muestra de un solo docente impiden una conclusión apta para producción.</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Calibración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Preparación para producción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Insuficiente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Validado - sin un ganador concluyente</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Completitud del contexto de negocio</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Moderada</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17/17</w:t>
            </w:r>
          </w:p>
        </w:tc>
      </w:tr>
    </w:tbl>
    <w:p/>
    <w:p>
      <w:pPr>
        <w:pStyle w:val="Heading1"/>
        <w:keepNext/>
        <w:spacing w:before="200" w:after="80"/>
      </w:pPr>
      <w:r>
        <w:rPr>
          <w:rFonts w:ascii="Arial" w:hAnsi="Arial"/>
          <w:b/>
          <w:i w:val="0"/>
          <w:color w:val="1F3A5F"/>
          <w:sz w:val="32"/>
        </w:rPr>
        <w:t>Plan de acción</w:t>
      </w:r>
    </w:p>
    <w:tbl>
      <w:tblPr>
        <w:tblW w:type="dxa" w:w="9676"/>
        <w:jc w:val="left"/>
        <w:tblLayout w:type="fixed"/>
        <w:tblLook w:firstColumn="1" w:firstRow="1" w:lastColumn="0" w:lastRow="0" w:noHBand="0" w:noVBand="1" w:val="04A0"/>
      </w:tblPr>
      <w:tblGrid>
        <w:gridCol w:w="1656"/>
        <w:gridCol w:w="1656"/>
        <w:gridCol w:w="1656"/>
        <w:gridCol w:w="1656"/>
        <w:gridCol w:w="1656"/>
        <w:gridCol w:w="1656"/>
      </w:tblGrid>
      <w:tr>
        <w:trPr>
          <w:trHeight w:hRule="atLeast"/>
          <w:cantSplit/>
          <w:tblHeader w:val="true"/>
        </w:trPr>
        <w:tc>
          <w:tcPr>
            <w:tcW w:type="dxa" w:w="96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Prioridad</w:t>
            </w:r>
          </w:p>
        </w:tc>
        <w:tc>
          <w:tcPr>
            <w:tcW w:type="dxa" w:w="20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Acción</w:t>
            </w:r>
          </w:p>
        </w:tc>
        <w:tc>
          <w:tcPr>
            <w:tcW w:type="dxa" w:w="2419"/>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Razón</w:t>
            </w:r>
          </w:p>
        </w:tc>
        <w:tc>
          <w:tcPr>
            <w:tcW w:type="dxa" w:w="145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Responsable</w:t>
            </w:r>
          </w:p>
        </w:tc>
        <w:tc>
          <w:tcPr>
            <w:tcW w:type="dxa" w:w="181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Disparador o fecha</w:t>
            </w:r>
          </w:p>
        </w:tc>
        <w:tc>
          <w:tcPr>
            <w:tcW w:type="dxa" w:w="96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Estado</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High</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Ampliar cobertura docente</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La evidencia actual proviene de un solo docente.</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Al menos cinco docentes representados</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Abierto</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Medium</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Continuar recolectando etiquetas</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La muestra validada actual todavía es limitada.</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500 etiquetas maduras adicionales</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Abierto</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Medium</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Regenerar informe tras revisar el contexto</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El contexto de negocio mejora la preparación para reuniones.</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cuando más profesores utilicen la app</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Abierto</w:t>
            </w:r>
          </w:p>
        </w:tc>
      </w:tr>
    </w:tbl>
    <w:p/>
    <w:p>
      <w:pPr>
        <w:pStyle w:val="Heading1"/>
        <w:keepNext/>
        <w:spacing w:before="200" w:after="80"/>
      </w:pPr>
      <w:r>
        <w:rPr>
          <w:rFonts w:ascii="Arial" w:hAnsi="Arial"/>
          <w:b/>
          <w:i w:val="0"/>
          <w:color w:val="1F3A5F"/>
          <w:sz w:val="32"/>
        </w:rPr>
        <w:t>Control documental y metadatos</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48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Estado de la ejecución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Validado - sin un ganador concluyente</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Integridad</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Aprobada sin un ganador concluyente</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Madurez</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Solo exploratorio</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Versión del objetivo</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Opened Within 7d V1</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Versión del esquema de variables</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Assigned Resource Open 7d V1</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ID de ejecución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ebcf382089d2</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Huella del conjunto de datos</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6725ffb449deb229c08f83469e2d3b0a32c68fea72e519a1d18f621f9028c5a4</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Corte cronológico</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2026-06-30T17:56:21.615697+00:00</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Contexto de negocio aportado por</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e109dd3c-8e12-4db4-bf64-91a856719317</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Última actualización del contexto</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2026-07-20T05:57:08.397491+00:00</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Redacción asistida por IA</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Idioma del informe</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ES</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Versión del informe</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w:t>
            </w:r>
          </w:p>
        </w:tc>
      </w:tr>
    </w:tbl>
    <w:p/>
    <w:p>
      <w:pPr>
        <w:pStyle w:val="Heading1"/>
        <w:keepNext/>
        <w:spacing w:before="200" w:after="80"/>
      </w:pPr>
      <w:r>
        <w:rPr>
          <w:rFonts w:ascii="Arial" w:hAnsi="Arial"/>
          <w:b/>
          <w:i w:val="0"/>
          <w:color w:val="1F3A5F"/>
          <w:sz w:val="32"/>
        </w:rPr>
        <w:t>Definición del experimento</w:t>
      </w:r>
    </w:p>
    <w:p>
      <w:r>
        <w:rPr>
          <w:rFonts w:ascii="Arial" w:hAnsi="Arial"/>
          <w:b w:val="0"/>
          <w:i w:val="0"/>
          <w:color w:val="282828"/>
          <w:sz w:val="21"/>
        </w:rPr>
        <w:t>¿Puede Classio predecir si un estudiante abrirá un recurso asignado dentro de siete días?</w:t>
      </w:r>
    </w:p>
    <w:p>
      <w:r>
        <w:rPr>
          <w:rFonts w:ascii="Arial" w:hAnsi="Arial"/>
          <w:b w:val="0"/>
          <w:i w:val="0"/>
          <w:color w:val="282828"/>
          <w:sz w:val="21"/>
        </w:rPr>
        <w:t>Objetivo de predicción: opened_within_7d, basado en comportamiento de apertura de asignaciones dentro de una ventana de siete días.</w:t>
      </w:r>
    </w:p>
    <w:p>
      <w:pPr>
        <w:pStyle w:val="Heading1"/>
        <w:keepNext/>
        <w:spacing w:before="200" w:after="80"/>
      </w:pPr>
      <w:r>
        <w:rPr>
          <w:rFonts w:ascii="Arial" w:hAnsi="Arial"/>
          <w:b/>
          <w:i w:val="0"/>
          <w:color w:val="1F3A5F"/>
          <w:sz w:val="32"/>
        </w:rPr>
        <w:t>Tablas fuente y lógica de extracción</w:t>
      </w:r>
    </w:p>
    <w:p>
      <w:pPr>
        <w:pStyle w:val="ListBullet"/>
        <w:spacing w:after="80"/>
      </w:pPr>
      <w:r>
        <w:rPr>
          <w:rFonts w:ascii="Arial" w:hAnsi="Arial"/>
          <w:b w:val="0"/>
          <w:i w:val="0"/>
          <w:color w:val="282828"/>
          <w:sz w:val="20"/>
        </w:rPr>
        <w:t>Tablas fuente: teacher_assignments, teacher_assignment_attempts, practice_sessions, resource_exposures y resource_exposure_events.</w:t>
      </w:r>
    </w:p>
    <w:p>
      <w:pPr>
        <w:pStyle w:val="ListBullet"/>
        <w:spacing w:after="80"/>
      </w:pPr>
      <w:r>
        <w:rPr>
          <w:rFonts w:ascii="Arial" w:hAnsi="Arial"/>
          <w:b w:val="0"/>
          <w:i w:val="0"/>
          <w:color w:val="282828"/>
          <w:sz w:val="20"/>
        </w:rPr>
        <w:t>La lógica de extracción queda congelada en los artefactos validados de la ejecución y se resume en el JSON de resumen del conjunto de datos.</w:t>
      </w:r>
    </w:p>
    <w:p>
      <w:pPr>
        <w:pStyle w:val="ListBullet"/>
        <w:spacing w:after="80"/>
      </w:pPr>
      <w:r>
        <w:rPr>
          <w:rFonts w:ascii="Arial" w:hAnsi="Arial"/>
          <w:b w:val="0"/>
          <w:i w:val="0"/>
          <w:color w:val="282828"/>
          <w:sz w:val="20"/>
        </w:rPr>
        <w:t>Toda la construcción de variables se limita a información conocida en o antes del momento de la asignación.</w:t>
      </w:r>
    </w:p>
    <w:p>
      <w:pPr>
        <w:pStyle w:val="Heading1"/>
        <w:keepNext/>
        <w:spacing w:before="200" w:after="80"/>
      </w:pPr>
      <w:r>
        <w:rPr>
          <w:rFonts w:ascii="Arial" w:hAnsi="Arial"/>
          <w:b/>
          <w:i w:val="0"/>
          <w:color w:val="1F3A5F"/>
          <w:sz w:val="32"/>
        </w:rPr>
        <w:t>Contabilidad del conjunto de datos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Filas de origen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128</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Filas incluidas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126</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Etiquetas positivas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Etiquetas negativas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Censuradas por ventana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Docentes representados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Estudiantes representados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representados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61</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Rango de fechas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2026-04-10T11:54:00.263328+00:00 a 2026-07-17T17:21:47.105912+00:00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Corte cronológico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2026-06-30T17:56:21.615697+00:00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Filas de desarrollo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Filas de holdout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26</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Observation Window Open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w:t>
            </w:r>
          </w:p>
        </w:tc>
      </w:tr>
    </w:tbl>
    <w:p/>
    <w:p>
      <w:r>
        <w:drawing>
          <wp:inline xmlns:a="http://schemas.openxmlformats.org/drawingml/2006/main" xmlns:pic="http://schemas.openxmlformats.org/drawingml/2006/picture">
            <wp:extent cx="5120640" cy="3092078"/>
            <wp:docPr id="1" name="Picture 1"/>
            <wp:cNvGraphicFramePr>
              <a:graphicFrameLocks noChangeAspect="1"/>
            </wp:cNvGraphicFramePr>
            <a:graphic>
              <a:graphicData uri="http://schemas.openxmlformats.org/drawingml/2006/picture">
                <pic:pic>
                  <pic:nvPicPr>
                    <pic:cNvPr id="0" name="label_balance_6d2c112b69.png"/>
                    <pic:cNvPicPr/>
                  </pic:nvPicPr>
                  <pic:blipFill>
                    <a:blip r:embed="rId11"/>
                    <a:stretch>
                      <a:fillRect/>
                    </a:stretch>
                  </pic:blipFill>
                  <pic:spPr>
                    <a:xfrm>
                      <a:off x="0" y="0"/>
                      <a:ext cx="5120640" cy="3092078"/>
                    </a:xfrm>
                    <a:prstGeom prst="rect"/>
                  </pic:spPr>
                </pic:pic>
              </a:graphicData>
            </a:graphic>
          </wp:inline>
        </w:drawing>
      </w:r>
    </w:p>
    <w:p>
      <w:pPr>
        <w:spacing w:before="20" w:after="160"/>
      </w:pPr>
      <w:r>
        <w:rPr>
          <w:rFonts w:ascii="Arial" w:hAnsi="Arial"/>
          <w:b w:val="0"/>
          <w:i/>
          <w:color w:val="5A626F"/>
          <w:sz w:val="17"/>
        </w:rPr>
        <w:t>Figura 1. Distribución almacenada de objetivo y clases.</w:t>
      </w:r>
    </w:p>
    <w:p>
      <w:r>
        <w:drawing>
          <wp:inline xmlns:a="http://schemas.openxmlformats.org/drawingml/2006/main" xmlns:pic="http://schemas.openxmlformats.org/drawingml/2006/picture">
            <wp:extent cx="5852160" cy="1999733"/>
            <wp:docPr id="2" name="Picture 2"/>
            <wp:cNvGraphicFramePr>
              <a:graphicFrameLocks noChangeAspect="1"/>
            </wp:cNvGraphicFramePr>
            <a:graphic>
              <a:graphicData uri="http://schemas.openxmlformats.org/drawingml/2006/picture">
                <pic:pic>
                  <pic:nvPicPr>
                    <pic:cNvPr id="0" name="split_timeline_6d2c112b69.png"/>
                    <pic:cNvPicPr/>
                  </pic:nvPicPr>
                  <pic:blipFill>
                    <a:blip r:embed="rId12"/>
                    <a:stretch>
                      <a:fillRect/>
                    </a:stretch>
                  </pic:blipFill>
                  <pic:spPr>
                    <a:xfrm>
                      <a:off x="0" y="0"/>
                      <a:ext cx="5852160" cy="1999733"/>
                    </a:xfrm>
                    <a:prstGeom prst="rect"/>
                  </pic:spPr>
                </pic:pic>
              </a:graphicData>
            </a:graphic>
          </wp:inline>
        </w:drawing>
      </w:r>
    </w:p>
    <w:p>
      <w:pPr>
        <w:spacing w:before="20" w:after="160"/>
      </w:pPr>
      <w:r>
        <w:rPr>
          <w:rFonts w:ascii="Arial" w:hAnsi="Arial"/>
          <w:b w:val="0"/>
          <w:i/>
          <w:color w:val="5A626F"/>
          <w:sz w:val="17"/>
        </w:rPr>
        <w:t>Figura 2. Línea temporal de asignaciones y corte cronológico.</w:t>
      </w:r>
    </w:p>
    <w:p>
      <w:pPr>
        <w:pStyle w:val="Heading1"/>
        <w:keepNext/>
        <w:spacing w:before="200" w:after="80"/>
      </w:pPr>
      <w:r>
        <w:rPr>
          <w:rFonts w:ascii="Arial" w:hAnsi="Arial"/>
          <w:b/>
          <w:i w:val="0"/>
          <w:color w:val="1F3A5F"/>
          <w:sz w:val="32"/>
        </w:rPr>
        <w:t>Construcción y conciliación de etiquetas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Veredicto final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Validado - sin un ganador concluyente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Conciliación exacta a nivel de fila</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Conciliación de auditoría legacy aplicable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Conteos de auditoría</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{"negative": 53, "positive": 61, "unknown": 13}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Conteos fase 3</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{"negative": 53, "positive": 73, "unknown": 2}</w:t>
            </w:r>
          </w:p>
        </w:tc>
      </w:tr>
    </w:tbl>
    <w:p/>
    <w:p>
      <w:pPr>
        <w:pStyle w:val="ListBullet"/>
        <w:spacing w:after="80"/>
      </w:pPr>
      <w:r>
        <w:rPr>
          <w:rFonts w:ascii="Arial" w:hAnsi="Arial"/>
          <w:b w:val="0"/>
          <w:i w:val="0"/>
          <w:color w:val="282828"/>
          <w:sz w:val="20"/>
        </w:rPr>
        <w:t>Esta ejecución fue generada por la canalización actual de la Fase 3.6, por lo que la conciliación histórica de conteos de auditoría de la Fase 3.5 no es necesaria para la validación.</w:t>
      </w:r>
    </w:p>
    <w:p>
      <w:pPr>
        <w:pStyle w:val="Heading1"/>
        <w:keepNext/>
        <w:spacing w:before="200" w:after="80"/>
      </w:pPr>
      <w:r>
        <w:rPr>
          <w:rFonts w:ascii="Arial" w:hAnsi="Arial"/>
          <w:b/>
          <w:i w:val="0"/>
          <w:color w:val="1F3A5F"/>
          <w:sz w:val="32"/>
        </w:rPr>
        <w:t>Controles contra fuga de información</w:t>
      </w:r>
    </w:p>
    <w:p>
      <w:pPr>
        <w:pStyle w:val="ListBullet"/>
        <w:spacing w:after="80"/>
      </w:pPr>
      <w:r>
        <w:rPr>
          <w:rFonts w:ascii="Arial" w:hAnsi="Arial"/>
          <w:b w:val="0"/>
          <w:i w:val="0"/>
          <w:color w:val="282828"/>
          <w:sz w:val="20"/>
        </w:rPr>
        <w:t>El holdout cronológico mantiene asignaciones futuras fuera de los datos de desarrollo.</w:t>
      </w:r>
    </w:p>
    <w:p>
      <w:pPr>
        <w:pStyle w:val="ListBullet"/>
        <w:spacing w:after="80"/>
      </w:pPr>
      <w:r>
        <w:rPr>
          <w:rFonts w:ascii="Arial" w:hAnsi="Arial"/>
          <w:b w:val="0"/>
          <w:i w:val="0"/>
          <w:color w:val="282828"/>
          <w:sz w:val="20"/>
        </w:rPr>
        <w:t>Las marcas de tiempo de las variables se comparan con la fecha de asignación para garantizar disponibilidad solo del pasado.</w:t>
      </w:r>
    </w:p>
    <w:p>
      <w:pPr>
        <w:pStyle w:val="ListBullet"/>
        <w:spacing w:after="80"/>
      </w:pPr>
      <w:r>
        <w:rPr>
          <w:rFonts w:ascii="Arial" w:hAnsi="Arial"/>
          <w:b w:val="0"/>
          <w:i w:val="0"/>
          <w:color w:val="282828"/>
          <w:sz w:val="20"/>
        </w:rPr>
        <w:t>Las explicaciones de ausencia de variables en la revisión almacenada indican que la dispersión proviene de la disponibilidad histórica y no de un desajuste de identificadores.</w:t>
      </w:r>
    </w:p>
    <w:p>
      <w:pPr>
        <w:pStyle w:val="Heading1"/>
        <w:keepNext/>
        <w:spacing w:before="200" w:after="80"/>
      </w:pPr>
      <w:r>
        <w:rPr>
          <w:rFonts w:ascii="Arial" w:hAnsi="Arial"/>
          <w:b/>
          <w:i w:val="0"/>
          <w:color w:val="1F3A5F"/>
          <w:sz w:val="32"/>
        </w:rPr>
        <w:t>Esquema y salud de variables</w:t>
      </w:r>
    </w:p>
    <w:p>
      <w:r>
        <w:drawing>
          <wp:inline xmlns:a="http://schemas.openxmlformats.org/drawingml/2006/main" xmlns:pic="http://schemas.openxmlformats.org/drawingml/2006/picture">
            <wp:extent cx="5852160" cy="3522514"/>
            <wp:docPr id="3" name="Picture 3"/>
            <wp:cNvGraphicFramePr>
              <a:graphicFrameLocks noChangeAspect="1"/>
            </wp:cNvGraphicFramePr>
            <a:graphic>
              <a:graphicData uri="http://schemas.openxmlformats.org/drawingml/2006/picture">
                <pic:pic>
                  <pic:nvPicPr>
                    <pic:cNvPr id="0" name="feature_missingness_6d2c112b69.png"/>
                    <pic:cNvPicPr/>
                  </pic:nvPicPr>
                  <pic:blipFill>
                    <a:blip r:embed="rId13"/>
                    <a:stretch>
                      <a:fillRect/>
                    </a:stretch>
                  </pic:blipFill>
                  <pic:spPr>
                    <a:xfrm>
                      <a:off x="0" y="0"/>
                      <a:ext cx="5852160" cy="3522514"/>
                    </a:xfrm>
                    <a:prstGeom prst="rect"/>
                  </pic:spPr>
                </pic:pic>
              </a:graphicData>
            </a:graphic>
          </wp:inline>
        </w:drawing>
      </w:r>
    </w:p>
    <w:p>
      <w:pPr>
        <w:spacing w:before="20" w:after="160"/>
      </w:pPr>
      <w:r>
        <w:rPr>
          <w:rFonts w:ascii="Arial" w:hAnsi="Arial"/>
          <w:b w:val="0"/>
          <w:i/>
          <w:color w:val="5A626F"/>
          <w:sz w:val="17"/>
        </w:rPr>
        <w:t>Figura 3. Tasas de ausencia más altas según la auditoría almacenada de variables.</w:t>
      </w:r>
    </w:p>
    <w:tbl>
      <w:tblPr>
        <w:tblW w:type="dxa" w:w="9676"/>
        <w:jc w:val="left"/>
        <w:tblLayout w:type="fixed"/>
        <w:tblLook w:firstColumn="1" w:firstRow="1" w:lastColumn="0" w:lastRow="0" w:noHBand="0" w:noVBand="1" w:val="04A0"/>
      </w:tblPr>
      <w:tblGrid>
        <w:gridCol w:w="1242"/>
        <w:gridCol w:w="1242"/>
        <w:gridCol w:w="1242"/>
        <w:gridCol w:w="1242"/>
        <w:gridCol w:w="1242"/>
        <w:gridCol w:w="1242"/>
        <w:gridCol w:w="1242"/>
        <w:gridCol w:w="1242"/>
      </w:tblGrid>
      <w:tr>
        <w:trPr>
          <w:trHeight w:hRule="atLeast"/>
          <w:cantSplit/>
          <w:tblHeader w:val="true"/>
        </w:trPr>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Variable</w:t>
            </w:r>
          </w:p>
        </w:tc>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Fuente</w:t>
            </w:r>
          </w:p>
        </w:tc>
        <w:tc>
          <w:tcPr>
            <w:tcW w:type="dxa" w:w="115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Disponibilidad</w:t>
            </w:r>
          </w:p>
        </w:tc>
        <w:tc>
          <w:tcPr>
            <w:tcW w:type="dxa" w:w="88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Falta total</w:t>
            </w:r>
          </w:p>
        </w:tc>
        <w:tc>
          <w:tcPr>
            <w:tcW w:type="dxa" w:w="88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Falta en desarrollo</w:t>
            </w:r>
          </w:p>
        </w:tc>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Falta en holdout</w:t>
            </w:r>
          </w:p>
        </w:tc>
        <w:tc>
          <w:tcPr>
            <w:tcW w:type="dxa" w:w="68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Incluida</w:t>
            </w:r>
          </w:p>
        </w:tc>
        <w:tc>
          <w:tcPr>
            <w:tcW w:type="dxa" w:w="299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Explicación</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Student Assignment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Revisión almacenada</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Solo pasado</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31.25%</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40.0%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0.0%</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Sí</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se detectó ningún desajuste de identificadores. Los valores faltantes se producen por la regla de construcción de variables que solo utiliza historial maduro estrictamente anterior. En las asignaciones tempranas todavía no existe historial maduro previo; la dispersión a nivel de recurso es especialmente alta para prior_resource_open_rate.</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Teacher Assignment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Revisión almacenada</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Solo pasado</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21.88%</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28.0%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0.0%</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Sí</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se detectó ningún desajuste de identificadores. Los valores faltantes se producen por la regla de construcción de variables que solo utiliza historial maduro estrictamente anterior. En las asignaciones tempranas todavía no existe historial maduro previo; la dispersión a nivel de recurso es especialmente alta para prior_resource_open_rate.</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Resource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Revisión almacenada</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Solo pasado</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73.44%</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70.0%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84.62%</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Sí</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se detectó ningún desajuste de identificadores. Los valores faltantes se producen por la regla de construcción de variables que solo utiliza historial maduro estrictamente anterior. En las asignaciones tempranas todavía no existe historial maduro previo; la dispersión a nivel de recurso es especialmente alta para prior_resource_open_rate.</w:t>
            </w:r>
          </w:p>
        </w:tc>
      </w:tr>
    </w:tbl>
    <w:p>
      <w:pPr>
        <w:spacing w:before="20" w:after="160"/>
      </w:pPr>
      <w:r>
        <w:rPr>
          <w:rFonts w:ascii="Arial" w:hAnsi="Arial"/>
          <w:b w:val="0"/>
          <w:i/>
          <w:color w:val="5A626F"/>
          <w:sz w:val="17"/>
        </w:rPr>
        <w:t>Tabla de salud de variables basada en la auditoría y la revisión almacenadas.</w:t>
      </w:r>
    </w:p>
    <w:p/>
    <w:p>
      <w:pPr>
        <w:pStyle w:val="Heading1"/>
        <w:keepNext/>
        <w:spacing w:before="200" w:after="80"/>
      </w:pPr>
      <w:r>
        <w:rPr>
          <w:rFonts w:ascii="Arial" w:hAnsi="Arial"/>
          <w:b/>
          <w:i w:val="0"/>
          <w:color w:val="1F3A5F"/>
          <w:sz w:val="32"/>
        </w:rPr>
        <w:t>Pipelines de preprocesamiento</w:t>
      </w:r>
    </w:p>
    <w:p>
      <w:pPr>
        <w:pStyle w:val="ListBullet"/>
        <w:spacing w:after="80"/>
      </w:pPr>
      <w:r>
        <w:rPr>
          <w:rFonts w:ascii="Arial" w:hAnsi="Arial"/>
          <w:b w:val="0"/>
          <w:i w:val="0"/>
          <w:color w:val="282828"/>
          <w:sz w:val="20"/>
        </w:rPr>
        <w:t>Los valores faltantes se imputan solo cuando la canalización almacenada de evaluación marcó la variable como retenida.</w:t>
      </w:r>
    </w:p>
    <w:p>
      <w:pPr>
        <w:pStyle w:val="ListBullet"/>
        <w:spacing w:after="80"/>
      </w:pPr>
      <w:r>
        <w:rPr>
          <w:rFonts w:ascii="Arial" w:hAnsi="Arial"/>
          <w:b w:val="0"/>
          <w:i w:val="0"/>
          <w:color w:val="282828"/>
          <w:sz w:val="20"/>
        </w:rPr>
        <w:t>Las variables categóricas se codifican dentro de la configuración almacenada de la canalización; ninguna transformación en tiempo de informe modifica los resultados del modelo.</w:t>
      </w:r>
    </w:p>
    <w:p>
      <w:pPr>
        <w:pStyle w:val="ListBullet"/>
        <w:spacing w:after="80"/>
      </w:pPr>
      <w:r>
        <w:rPr>
          <w:rFonts w:ascii="Arial" w:hAnsi="Arial"/>
          <w:b w:val="0"/>
          <w:i w:val="0"/>
          <w:color w:val="282828"/>
          <w:sz w:val="20"/>
        </w:rPr>
        <w:t>Las variables totalmente ausentes en el tramo de desarrollo se excluyen automáticamente antes del ajuste, tal como se documenta en la revisión de integridad.</w:t>
      </w:r>
    </w:p>
    <w:p>
      <w:pPr>
        <w:pStyle w:val="Heading1"/>
        <w:keepNext/>
        <w:spacing w:before="200" w:after="80"/>
      </w:pPr>
      <w:r>
        <w:rPr>
          <w:rFonts w:ascii="Arial" w:hAnsi="Arial"/>
          <w:b/>
          <w:i w:val="0"/>
          <w:color w:val="1F3A5F"/>
          <w:sz w:val="32"/>
        </w:rPr>
        <w:t>Corte cronológico y validación cruzada</w:t>
      </w:r>
    </w:p>
    <w:p>
      <w:pPr>
        <w:pStyle w:val="ListBullet"/>
        <w:spacing w:after="80"/>
      </w:pPr>
      <w:r>
        <w:rPr>
          <w:rFonts w:ascii="Arial" w:hAnsi="Arial"/>
          <w:b w:val="0"/>
          <w:i w:val="0"/>
          <w:color w:val="282828"/>
          <w:sz w:val="20"/>
        </w:rPr>
        <w:t>Filas de desarrollo: 100 con 60 positivas.</w:t>
      </w:r>
    </w:p>
    <w:p>
      <w:pPr>
        <w:pStyle w:val="ListBullet"/>
        <w:spacing w:after="80"/>
      </w:pPr>
      <w:r>
        <w:rPr>
          <w:rFonts w:ascii="Arial" w:hAnsi="Arial"/>
          <w:b w:val="0"/>
          <w:i w:val="0"/>
          <w:color w:val="282828"/>
          <w:sz w:val="20"/>
        </w:rPr>
        <w:t>Filas holdout: 26 con 13 positivas.</w:t>
      </w:r>
    </w:p>
    <w:p>
      <w:pPr>
        <w:pStyle w:val="ListBullet"/>
        <w:spacing w:after="80"/>
      </w:pPr>
      <w:r>
        <w:rPr>
          <w:rFonts w:ascii="Arial" w:hAnsi="Arial"/>
          <w:b w:val="0"/>
          <w:i w:val="0"/>
          <w:color w:val="282828"/>
          <w:sz w:val="20"/>
        </w:rPr>
        <w:t>Los conteos de folds y las métricas medias de validación cruzada se leen directamente del artefacto almacenado de comparación de modelos.</w:t>
      </w:r>
    </w:p>
    <w:p>
      <w:pPr>
        <w:pStyle w:val="Heading1"/>
        <w:keepNext/>
        <w:spacing w:before="200" w:after="80"/>
      </w:pPr>
      <w:r>
        <w:rPr>
          <w:rFonts w:ascii="Arial" w:hAnsi="Arial"/>
          <w:b/>
          <w:i w:val="0"/>
          <w:color w:val="1F3A5F"/>
          <w:sz w:val="32"/>
        </w:rPr>
        <w:t>Configuraciones de modelo</w:t>
      </w:r>
    </w:p>
    <w:tbl>
      <w:tblPr>
        <w:tblW w:type="dxa" w:w="9648"/>
        <w:jc w:val="left"/>
        <w:tblLayout w:type="fixed"/>
        <w:tblLook w:firstColumn="1" w:firstRow="1" w:lastColumn="0" w:lastRow="0" w:noHBand="0" w:noVBand="1" w:val="04A0"/>
      </w:tblPr>
      <w:tblGrid>
        <w:gridCol w:w="3312"/>
        <w:gridCol w:w="3312"/>
        <w:gridCol w:w="3312"/>
      </w:tblGrid>
      <w:tr>
        <w:trPr>
          <w:trHeight w:hRule="atLeast"/>
          <w:cantSplit/>
          <w:tblHeader w:val="true"/>
        </w:trPr>
        <w:tc>
          <w:tcPr>
            <w:tcW w:type="dxa" w:w="25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Modelo</w:t>
            </w:r>
          </w:p>
        </w:tc>
        <w:tc>
          <w:tcPr>
            <w:tcW w:type="dxa" w:w="129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Estado</w:t>
            </w:r>
          </w:p>
        </w:tc>
        <w:tc>
          <w:tcPr>
            <w:tcW w:type="dxa" w:w="57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Hiperparámetros seleccionados</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Regla de clase mayoritaria</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Strategy: Majority Class Rule</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dummy</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Constant: n/a; Random State: n/a; Strategy: prior</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Regresión logística</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Class Weight: n/a; Dual: No; Fit Intercept: Yes; Intercept Scaling: 1; L1 Ratio: 0.0; Max Iter: 500; N Jobs: n/a; Penalty: deprecated; Random State: 20260716; Solver: lbfgs; Tol: 0.0001; Verbo</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Regresión logística (reducida)</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Class Weight: n/a; Dual: No; Fit Intercept: Yes; Intercept Scaling: 1; L1 Ratio: 0.0; Max Iter: 500; N Jobs: n/a; Penalty: deprecated; Random State: 20260716; Solver: lbfgs; Tol: 0.0001; Verbo</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árbol de decisión</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Ccp Alpha: 0.0; Class Weight: n/a; Criterion: gini; Max Depth: 3; Max Features: n/a; Max Leaf Nodes: n/a; Min Impurity Decrease: 0.0; Min Samples Leaf: 4; Min Samples Split: 2; Min Weight Fraction Lea</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Bootstrap: Yes; Ccp Alpha: 0.0; Class Weight: n/a; Criterion: gini; Max Depth: 4; Max Features: sqrt; Max Leaf Nodes: n/a; Max Samples: n/a; Min Impurity Decrease: 0.0; Min Samples Leaf: 3; Min Sample</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boosting por gradiente en histogramas</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Categorical Features: From Dtype; Class Weight: n/a; Early Stopping: auto; Interaction Cst: n/a; L2 Regularization: 0.0; Learning Rate: 0.08; Loss: Log Loss; Max Bins: 255; Max Depth: 3; Max Features:</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vectores de soporte</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Break Ties: No; Cache Size: 200; Class Weight: n/a; Coef0: 0.0; Decision Function Shape: ovr; Degree: 3; Gamma: scale; Kernel: rbf; Max Iter: -1; Probability: Yes; Random State: 20260716; Shri</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k vecinos más cercanos</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Éxito</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Algorithm: auto; Leaf Size: 30; Metric: minkowski; Metric Params: n/a; N Jobs: n/a; N Neighbors: 5; P: 2; Weights: distance</w:t>
            </w:r>
          </w:p>
        </w:tc>
      </w:tr>
    </w:tbl>
    <w:p/>
    <w:p>
      <w:pPr>
        <w:pStyle w:val="Heading1"/>
        <w:keepNext/>
        <w:spacing w:before="200" w:after="80"/>
      </w:pPr>
      <w:r>
        <w:rPr>
          <w:rFonts w:ascii="Arial" w:hAnsi="Arial"/>
          <w:b/>
          <w:i w:val="0"/>
          <w:color w:val="1F3A5F"/>
          <w:sz w:val="32"/>
        </w:rPr>
        <w:t>Resultados base y comparación</w:t>
      </w:r>
    </w:p>
    <w:p>
      <w:r>
        <w:drawing>
          <wp:inline xmlns:a="http://schemas.openxmlformats.org/drawingml/2006/main" xmlns:pic="http://schemas.openxmlformats.org/drawingml/2006/picture">
            <wp:extent cx="6035040" cy="3637241"/>
            <wp:docPr id="4" name="Picture 4"/>
            <wp:cNvGraphicFramePr>
              <a:graphicFrameLocks noChangeAspect="1"/>
            </wp:cNvGraphicFramePr>
            <a:graphic>
              <a:graphicData uri="http://schemas.openxmlformats.org/drawingml/2006/picture">
                <pic:pic>
                  <pic:nvPicPr>
                    <pic:cNvPr id="0" name="model_metrics_6d2c112b69.png"/>
                    <pic:cNvPicPr/>
                  </pic:nvPicPr>
                  <pic:blipFill>
                    <a:blip r:embed="rId14"/>
                    <a:stretch>
                      <a:fillRect/>
                    </a:stretch>
                  </pic:blipFill>
                  <pic:spPr>
                    <a:xfrm>
                      <a:off x="0" y="0"/>
                      <a:ext cx="6035040" cy="3637241"/>
                    </a:xfrm>
                    <a:prstGeom prst="rect"/>
                  </pic:spPr>
                </pic:pic>
              </a:graphicData>
            </a:graphic>
          </wp:inline>
        </w:drawing>
      </w:r>
    </w:p>
    <w:p>
      <w:pPr>
        <w:spacing w:before="20" w:after="160"/>
      </w:pPr>
      <w:r>
        <w:rPr>
          <w:rFonts w:ascii="Arial" w:hAnsi="Arial"/>
          <w:b w:val="0"/>
          <w:i/>
          <w:color w:val="5A626F"/>
          <w:sz w:val="17"/>
        </w:rPr>
        <w:t>Figura 4. Comparación de métricas de modelos con valores ROC AUC almacenados.</w:t>
      </w:r>
    </w:p>
    <w:p>
      <w:r>
        <w:drawing>
          <wp:inline xmlns:a="http://schemas.openxmlformats.org/drawingml/2006/main" xmlns:pic="http://schemas.openxmlformats.org/drawingml/2006/picture">
            <wp:extent cx="6035040" cy="3648914"/>
            <wp:docPr id="5" name="Picture 5"/>
            <wp:cNvGraphicFramePr>
              <a:graphicFrameLocks noChangeAspect="1"/>
            </wp:cNvGraphicFramePr>
            <a:graphic>
              <a:graphicData uri="http://schemas.openxmlformats.org/drawingml/2006/picture">
                <pic:pic>
                  <pic:nvPicPr>
                    <pic:cNvPr id="0" name="runtime_6d2c112b69.png"/>
                    <pic:cNvPicPr/>
                  </pic:nvPicPr>
                  <pic:blipFill>
                    <a:blip r:embed="rId15"/>
                    <a:stretch>
                      <a:fillRect/>
                    </a:stretch>
                  </pic:blipFill>
                  <pic:spPr>
                    <a:xfrm>
                      <a:off x="0" y="0"/>
                      <a:ext cx="6035040" cy="3648914"/>
                    </a:xfrm>
                    <a:prstGeom prst="rect"/>
                  </pic:spPr>
                </pic:pic>
              </a:graphicData>
            </a:graphic>
          </wp:inline>
        </w:drawing>
      </w:r>
    </w:p>
    <w:p>
      <w:pPr>
        <w:spacing w:before="20" w:after="160"/>
      </w:pPr>
      <w:r>
        <w:rPr>
          <w:rFonts w:ascii="Arial" w:hAnsi="Arial"/>
          <w:b w:val="0"/>
          <w:i/>
          <w:color w:val="5A626F"/>
          <w:sz w:val="17"/>
        </w:rPr>
        <w:t>Figura 5. Comparación de tiempos de entrenamiento a partir de salidas almacenadas del modelo.</w:t>
      </w:r>
    </w:p>
    <w:p>
      <w:pPr>
        <w:pStyle w:val="Heading1"/>
        <w:keepNext/>
        <w:spacing w:before="200" w:after="80"/>
      </w:pPr>
      <w:r>
        <w:rPr>
          <w:rFonts w:ascii="Arial" w:hAnsi="Arial"/>
          <w:b/>
          <w:i w:val="0"/>
          <w:color w:val="1F3A5F"/>
          <w:sz w:val="32"/>
        </w:rPr>
        <w:t>Análisis de umbrales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Líder principal por ROC</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clasificador por umbral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Líder de calibración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ranking precision-recall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Clasificador de bosque aleatorio</w:t>
            </w:r>
          </w:p>
        </w:tc>
      </w:tr>
    </w:tbl>
    <w:p/>
    <w:p>
      <w:r>
        <w:drawing>
          <wp:inline xmlns:a="http://schemas.openxmlformats.org/drawingml/2006/main" xmlns:pic="http://schemas.openxmlformats.org/drawingml/2006/picture">
            <wp:extent cx="3383280" cy="3250080"/>
            <wp:docPr id="6" name="Picture 6"/>
            <wp:cNvGraphicFramePr>
              <a:graphicFrameLocks noChangeAspect="1"/>
            </wp:cNvGraphicFramePr>
            <a:graphic>
              <a:graphicData uri="http://schemas.openxmlformats.org/drawingml/2006/picture">
                <pic:pic>
                  <pic:nvPicPr>
                    <pic:cNvPr id="0" name="baseline_confusion_6d2c112b69.png"/>
                    <pic:cNvPicPr/>
                  </pic:nvPicPr>
                  <pic:blipFill>
                    <a:blip r:embed="rId16"/>
                    <a:stretch>
                      <a:fillRect/>
                    </a:stretch>
                  </pic:blipFill>
                  <pic:spPr>
                    <a:xfrm>
                      <a:off x="0" y="0"/>
                      <a:ext cx="3383280" cy="3250080"/>
                    </a:xfrm>
                    <a:prstGeom prst="rect"/>
                  </pic:spPr>
                </pic:pic>
              </a:graphicData>
            </a:graphic>
          </wp:inline>
        </w:drawing>
      </w:r>
    </w:p>
    <w:p>
      <w:pPr>
        <w:spacing w:before="20" w:after="160"/>
      </w:pPr>
      <w:r>
        <w:rPr>
          <w:rFonts w:ascii="Arial" w:hAnsi="Arial"/>
          <w:b w:val="0"/>
          <w:i/>
          <w:color w:val="5A626F"/>
          <w:sz w:val="17"/>
        </w:rPr>
        <w:t>Figura 6. Matriz de confusión para la línea base almacenada.</w:t>
      </w:r>
    </w:p>
    <w:p>
      <w:r>
        <w:drawing>
          <wp:inline xmlns:a="http://schemas.openxmlformats.org/drawingml/2006/main" xmlns:pic="http://schemas.openxmlformats.org/drawingml/2006/picture">
            <wp:extent cx="3383280" cy="3051025"/>
            <wp:docPr id="7" name="Picture 7"/>
            <wp:cNvGraphicFramePr>
              <a:graphicFrameLocks noChangeAspect="1"/>
            </wp:cNvGraphicFramePr>
            <a:graphic>
              <a:graphicData uri="http://schemas.openxmlformats.org/drawingml/2006/picture">
                <pic:pic>
                  <pic:nvPicPr>
                    <pic:cNvPr id="0" name="leader_confusion_6d2c112b69.png"/>
                    <pic:cNvPicPr/>
                  </pic:nvPicPr>
                  <pic:blipFill>
                    <a:blip r:embed="rId17"/>
                    <a:stretch>
                      <a:fillRect/>
                    </a:stretch>
                  </pic:blipFill>
                  <pic:spPr>
                    <a:xfrm>
                      <a:off x="0" y="0"/>
                      <a:ext cx="3383280" cy="3051025"/>
                    </a:xfrm>
                    <a:prstGeom prst="rect"/>
                  </pic:spPr>
                </pic:pic>
              </a:graphicData>
            </a:graphic>
          </wp:inline>
        </w:drawing>
      </w:r>
    </w:p>
    <w:p>
      <w:pPr>
        <w:spacing w:before="20" w:after="160"/>
      </w:pPr>
      <w:r>
        <w:rPr>
          <w:rFonts w:ascii="Arial" w:hAnsi="Arial"/>
          <w:b w:val="0"/>
          <w:i/>
          <w:color w:val="5A626F"/>
          <w:sz w:val="17"/>
        </w:rPr>
        <w:t>Figura 7. Matriz de confusión para el líder principal por ROC.</w:t>
      </w:r>
    </w:p>
    <w:p>
      <w:pPr>
        <w:pStyle w:val="Heading1"/>
        <w:keepNext/>
        <w:spacing w:before="200" w:after="80"/>
      </w:pPr>
      <w:r>
        <w:rPr>
          <w:rFonts w:ascii="Arial" w:hAnsi="Arial"/>
          <w:b/>
          <w:i w:val="0"/>
          <w:color w:val="1F3A5F"/>
          <w:sz w:val="32"/>
        </w:rPr>
        <w:t>Análisis ROC</w:t>
      </w:r>
    </w:p>
    <w:p>
      <w:r>
        <w:drawing>
          <wp:inline xmlns:a="http://schemas.openxmlformats.org/drawingml/2006/main" xmlns:pic="http://schemas.openxmlformats.org/drawingml/2006/picture">
            <wp:extent cx="5852160" cy="3824577"/>
            <wp:docPr id="8" name="Picture 8"/>
            <wp:cNvGraphicFramePr>
              <a:graphicFrameLocks noChangeAspect="1"/>
            </wp:cNvGraphicFramePr>
            <a:graphic>
              <a:graphicData uri="http://schemas.openxmlformats.org/drawingml/2006/picture">
                <pic:pic>
                  <pic:nvPicPr>
                    <pic:cNvPr id="0" name="roc_curves_6d2c112b69.png"/>
                    <pic:cNvPicPr/>
                  </pic:nvPicPr>
                  <pic:blipFill>
                    <a:blip r:embed="rId18"/>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Figura 9. Curvas ROC para los modelos almacenados capaces de producir puntuaciones.</w:t>
      </w:r>
    </w:p>
    <w:p>
      <w:r>
        <w:rPr>
          <w:rFonts w:ascii="Arial" w:hAnsi="Arial"/>
          <w:b w:val="0"/>
          <w:i w:val="0"/>
          <w:color w:val="282828"/>
          <w:sz w:val="21"/>
        </w:rPr>
        <w:t>La comparación no estableció un ganador global estadísticamente robusto. Random Forest lideró varios criterios almacenados, pero el holdout pequeño y la muestra de un solo docente impiden una conclusión apta para producción.</w:t>
      </w:r>
    </w:p>
    <w:p>
      <w:pPr>
        <w:pStyle w:val="Heading1"/>
        <w:keepNext/>
        <w:spacing w:before="200" w:after="80"/>
      </w:pPr>
      <w:r>
        <w:rPr>
          <w:rFonts w:ascii="Arial" w:hAnsi="Arial"/>
          <w:b/>
          <w:i w:val="0"/>
          <w:color w:val="1F3A5F"/>
          <w:sz w:val="32"/>
        </w:rPr>
        <w:t>Análisis precision-recall</w:t>
      </w:r>
    </w:p>
    <w:p>
      <w:r>
        <w:drawing>
          <wp:inline xmlns:a="http://schemas.openxmlformats.org/drawingml/2006/main" xmlns:pic="http://schemas.openxmlformats.org/drawingml/2006/picture">
            <wp:extent cx="5852160" cy="3824577"/>
            <wp:docPr id="9" name="Picture 9"/>
            <wp:cNvGraphicFramePr>
              <a:graphicFrameLocks noChangeAspect="1"/>
            </wp:cNvGraphicFramePr>
            <a:graphic>
              <a:graphicData uri="http://schemas.openxmlformats.org/drawingml/2006/picture">
                <pic:pic>
                  <pic:nvPicPr>
                    <pic:cNvPr id="0" name="pr_curves_6d2c112b69.png"/>
                    <pic:cNvPicPr/>
                  </pic:nvPicPr>
                  <pic:blipFill>
                    <a:blip r:embed="rId19"/>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Figura 10. Curvas precision-recall para las mismas predicciones holdout almacenadas.</w:t>
      </w:r>
    </w:p>
    <w:p>
      <w:pPr>
        <w:pStyle w:val="Heading1"/>
        <w:keepNext/>
        <w:spacing w:before="200" w:after="80"/>
      </w:pPr>
      <w:r>
        <w:rPr>
          <w:rFonts w:ascii="Arial" w:hAnsi="Arial"/>
          <w:b/>
          <w:i w:val="0"/>
          <w:color w:val="1F3A5F"/>
          <w:sz w:val="32"/>
        </w:rPr>
        <w:t>Análisis de calibración</w:t>
      </w:r>
    </w:p>
    <w:p>
      <w:r>
        <w:drawing>
          <wp:inline xmlns:a="http://schemas.openxmlformats.org/drawingml/2006/main" xmlns:pic="http://schemas.openxmlformats.org/drawingml/2006/picture">
            <wp:extent cx="5852160" cy="3824577"/>
            <wp:docPr id="10" name="Picture 10"/>
            <wp:cNvGraphicFramePr>
              <a:graphicFrameLocks noChangeAspect="1"/>
            </wp:cNvGraphicFramePr>
            <a:graphic>
              <a:graphicData uri="http://schemas.openxmlformats.org/drawingml/2006/picture">
                <pic:pic>
                  <pic:nvPicPr>
                    <pic:cNvPr id="0" name="calibration_curves_6d2c112b69.png"/>
                    <pic:cNvPicPr/>
                  </pic:nvPicPr>
                  <pic:blipFill>
                    <a:blip r:embed="rId20"/>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Figura 11. Curvas de calibración derivadas de probabilidades almacenadas.</w:t>
      </w:r>
    </w:p>
    <w:p>
      <w:r>
        <w:drawing>
          <wp:inline xmlns:a="http://schemas.openxmlformats.org/drawingml/2006/main" xmlns:pic="http://schemas.openxmlformats.org/drawingml/2006/picture">
            <wp:extent cx="5852160" cy="3737112"/>
            <wp:docPr id="11" name="Picture 11"/>
            <wp:cNvGraphicFramePr>
              <a:graphicFrameLocks noChangeAspect="1"/>
            </wp:cNvGraphicFramePr>
            <a:graphic>
              <a:graphicData uri="http://schemas.openxmlformats.org/drawingml/2006/picture">
                <pic:pic>
                  <pic:nvPicPr>
                    <pic:cNvPr id="0" name="probability_distribution_6d2c112b69.png"/>
                    <pic:cNvPicPr/>
                  </pic:nvPicPr>
                  <pic:blipFill>
                    <a:blip r:embed="rId21"/>
                    <a:stretch>
                      <a:fillRect/>
                    </a:stretch>
                  </pic:blipFill>
                  <pic:spPr>
                    <a:xfrm>
                      <a:off x="0" y="0"/>
                      <a:ext cx="5852160" cy="3737112"/>
                    </a:xfrm>
                    <a:prstGeom prst="rect"/>
                  </pic:spPr>
                </pic:pic>
              </a:graphicData>
            </a:graphic>
          </wp:inline>
        </w:drawing>
      </w:r>
    </w:p>
    <w:p>
      <w:pPr>
        <w:spacing w:before="20" w:after="160"/>
      </w:pPr>
      <w:r>
        <w:rPr>
          <w:rFonts w:ascii="Arial" w:hAnsi="Arial"/>
          <w:b w:val="0"/>
          <w:i/>
          <w:color w:val="5A626F"/>
          <w:sz w:val="17"/>
        </w:rPr>
        <w:t>Figura 12. Distribuciones de probabilidad predicha para el líder almacenado, el líder por umbral y la línea base.</w:t>
      </w:r>
    </w:p>
    <w:p>
      <w:pPr>
        <w:pStyle w:val="Heading1"/>
        <w:keepNext/>
        <w:spacing w:before="200" w:after="80"/>
      </w:pPr>
      <w:r>
        <w:rPr>
          <w:rFonts w:ascii="Arial" w:hAnsi="Arial"/>
          <w:b/>
          <w:i w:val="0"/>
          <w:color w:val="1F3A5F"/>
          <w:sz w:val="32"/>
        </w:rPr>
        <w:t>Análisis de errores</w:t>
      </w:r>
    </w:p>
    <w:p>
      <w:pPr>
        <w:pStyle w:val="ListBullet"/>
        <w:spacing w:after="80"/>
      </w:pPr>
      <w:r>
        <w:rPr>
          <w:rFonts w:ascii="Arial" w:hAnsi="Arial"/>
          <w:b w:val="0"/>
          <w:i w:val="0"/>
          <w:color w:val="282828"/>
          <w:sz w:val="20"/>
        </w:rPr>
        <w:t>Los falsos positivos y falsos negativos solo pueden inspeccionarse mediante las predicciones holdout anonimizadas almacenadas; no se exponen identificadores crudos de usuario.</w:t>
      </w:r>
    </w:p>
    <w:p>
      <w:pPr>
        <w:pStyle w:val="ListBullet"/>
        <w:spacing w:after="80"/>
      </w:pPr>
      <w:r>
        <w:rPr>
          <w:rFonts w:ascii="Arial" w:hAnsi="Arial"/>
          <w:b w:val="0"/>
          <w:i w:val="0"/>
          <w:color w:val="282828"/>
          <w:sz w:val="20"/>
        </w:rPr>
        <w:t>Los tamaños muestrales por subgrupo son demasiado pequeños para afirmaciones técnicas sólidas por tema, historial del estudiante o tipo de recurso, por lo que la interpretación debe seguir siendo descriptiva.</w:t>
      </w:r>
    </w:p>
    <w:p>
      <w:pPr>
        <w:pStyle w:val="ListBullet"/>
        <w:spacing w:after="80"/>
      </w:pPr>
      <w:r>
        <w:rPr>
          <w:rFonts w:ascii="Arial" w:hAnsi="Arial"/>
          <w:b w:val="0"/>
          <w:i w:val="0"/>
          <w:color w:val="282828"/>
          <w:sz w:val="20"/>
        </w:rPr>
        <w:t>Las matrices de confusión muestran que la elección del umbral cambia más el equilibrio entre omisiones y falsas alarmas que la conclusión general.</w:t>
      </w:r>
    </w:p>
    <w:p>
      <w:pPr>
        <w:pStyle w:val="Heading1"/>
        <w:keepNext/>
        <w:spacing w:before="200" w:after="80"/>
      </w:pPr>
      <w:r>
        <w:rPr>
          <w:rFonts w:ascii="Arial" w:hAnsi="Arial"/>
          <w:b/>
          <w:i w:val="0"/>
          <w:color w:val="1F3A5F"/>
          <w:sz w:val="32"/>
        </w:rPr>
        <w:t>Incertidumbre e intervalos de confianza</w:t>
      </w:r>
    </w:p>
    <w:p>
      <w:pPr>
        <w:pStyle w:val="ListBullet"/>
        <w:spacing w:after="80"/>
      </w:pPr>
      <w:r>
        <w:rPr>
          <w:rFonts w:ascii="Arial" w:hAnsi="Arial"/>
          <w:b w:val="0"/>
          <w:i w:val="0"/>
          <w:color w:val="282828"/>
          <w:sz w:val="20"/>
        </w:rPr>
        <w:t>Los intervalos de confianza se leen del CSV almacenado de comparación de modelos.</w:t>
      </w:r>
    </w:p>
    <w:p>
      <w:pPr>
        <w:pStyle w:val="ListBullet"/>
        <w:spacing w:after="80"/>
      </w:pPr>
      <w:r>
        <w:rPr>
          <w:rFonts w:ascii="Arial" w:hAnsi="Arial"/>
          <w:b w:val="0"/>
          <w:i w:val="0"/>
          <w:color w:val="282828"/>
          <w:sz w:val="20"/>
        </w:rPr>
        <w:t>El tamaño pequeño del holdout y la cobertura de un solo docente implican que todos los intervalos de incertidumbre deben interpretarse con prudencia.</w:t>
      </w:r>
    </w:p>
    <w:p>
      <w:pPr>
        <w:pStyle w:val="ListBullet"/>
        <w:spacing w:after="80"/>
      </w:pPr>
      <w:r>
        <w:rPr>
          <w:rFonts w:ascii="Arial" w:hAnsi="Arial"/>
          <w:b w:val="0"/>
          <w:i w:val="0"/>
          <w:color w:val="282828"/>
          <w:sz w:val="20"/>
        </w:rPr>
        <w:t>Veredicto general almacenado: Validado - sin un ganador concluyente.</w:t>
      </w:r>
    </w:p>
    <w:p>
      <w:pPr>
        <w:pStyle w:val="Heading1"/>
        <w:keepNext/>
        <w:spacing w:before="200" w:after="80"/>
      </w:pPr>
      <w:r>
        <w:rPr>
          <w:rFonts w:ascii="Arial" w:hAnsi="Arial"/>
          <w:b/>
          <w:i w:val="0"/>
          <w:color w:val="1F3A5F"/>
          <w:sz w:val="32"/>
        </w:rPr>
        <w:t>Rendimiento temporal y recursos</w:t>
      </w:r>
    </w:p>
    <w:p>
      <w:r>
        <w:rPr>
          <w:rFonts w:ascii="Arial" w:hAnsi="Arial"/>
          <w:b w:val="0"/>
          <w:i w:val="0"/>
          <w:color w:val="282828"/>
          <w:sz w:val="21"/>
        </w:rPr>
        <w:t>Las duraciones de entrenamiento e inferencia se reportan directamente desde el artefacto validado de comparación de modelos y se muestran en la Figura 5.</w:t>
      </w:r>
    </w:p>
    <w:p>
      <w:pPr>
        <w:pStyle w:val="Heading1"/>
        <w:keepNext/>
        <w:spacing w:before="200" w:after="80"/>
      </w:pPr>
      <w:r>
        <w:rPr>
          <w:rFonts w:ascii="Arial" w:hAnsi="Arial"/>
          <w:b/>
          <w:i w:val="0"/>
          <w:color w:val="1F3A5F"/>
          <w:sz w:val="32"/>
        </w:rPr>
        <w:t>Resultados de la revisión de integridad</w:t>
      </w:r>
    </w:p>
    <w:p>
      <w:pPr>
        <w:pStyle w:val="ListBullet"/>
        <w:spacing w:after="80"/>
      </w:pPr>
      <w:r>
        <w:rPr>
          <w:rFonts w:ascii="Arial" w:hAnsi="Arial"/>
          <w:b w:val="0"/>
          <w:i w:val="0"/>
          <w:color w:val="282828"/>
          <w:sz w:val="20"/>
        </w:rPr>
        <w:t>La revisión validada concluye que esta ejecución sirve como paquete de evidencia técnica, pero no como decisión de despliegue.</w:t>
      </w:r>
    </w:p>
    <w:p>
      <w:pPr>
        <w:pStyle w:val="ListBullet"/>
        <w:spacing w:after="80"/>
      </w:pPr>
      <w:r>
        <w:rPr>
          <w:rFonts w:ascii="Arial" w:hAnsi="Arial"/>
          <w:b w:val="0"/>
          <w:i w:val="0"/>
          <w:color w:val="282828"/>
          <w:sz w:val="20"/>
        </w:rPr>
        <w:t>Todos los modelos previstos se ejecutaron con éxito en la ejecución validada.</w:t>
      </w:r>
    </w:p>
    <w:p>
      <w:pPr>
        <w:pStyle w:val="ListBullet"/>
        <w:spacing w:after="80"/>
      </w:pPr>
      <w:r>
        <w:rPr>
          <w:rFonts w:ascii="Arial" w:hAnsi="Arial"/>
          <w:b w:val="0"/>
          <w:i w:val="0"/>
          <w:color w:val="282828"/>
          <w:sz w:val="20"/>
        </w:rPr>
        <w:t>Las comprobaciones de consistencia de artefactos confirmaron ID de ejecución y huella de datos compartidos entre las salidas almacenadas.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Si bien el modelo demuestra capacidad predictiva en el contexto actual, su aplicabilidad general es limitada por el escaso número de profesores y la falta de un ganador robusto. El experimento valida la idea de predicción, pero se requiere una mayor cobertura de datos antes de considerar despliegues a gran escala. En consecuencia, el veredicto madurativo sigue siendo exploratorio.</w:t>
            </w:r>
          </w:p>
        </w:tc>
      </w:tr>
    </w:tbl>
    <w:p/>
    <w:p>
      <w:pPr>
        <w:pStyle w:val="Heading1"/>
        <w:keepNext/>
        <w:spacing w:before="200" w:after="80"/>
      </w:pPr>
      <w:r>
        <w:rPr>
          <w:rFonts w:ascii="Arial" w:hAnsi="Arial"/>
          <w:b/>
          <w:i w:val="0"/>
          <w:color w:val="1F3A5F"/>
          <w:sz w:val="32"/>
        </w:rPr>
        <w:t>Reproducibilidad</w:t>
      </w:r>
    </w:p>
    <w:p>
      <w:pPr>
        <w:pStyle w:val="ListBullet"/>
        <w:spacing w:after="80"/>
      </w:pPr>
      <w:r>
        <w:rPr>
          <w:rFonts w:ascii="Arial" w:hAnsi="Arial"/>
          <w:b w:val="0"/>
          <w:i w:val="0"/>
          <w:color w:val="282828"/>
          <w:sz w:val="20"/>
        </w:rPr>
        <w:t>ID de ejecución: ebcf382089d2</w:t>
      </w:r>
    </w:p>
    <w:p>
      <w:pPr>
        <w:pStyle w:val="ListBullet"/>
        <w:spacing w:after="80"/>
      </w:pPr>
      <w:r>
        <w:rPr>
          <w:rFonts w:ascii="Arial" w:hAnsi="Arial"/>
          <w:b w:val="0"/>
          <w:i w:val="0"/>
          <w:color w:val="282828"/>
          <w:sz w:val="20"/>
        </w:rPr>
        <w:t>Huella del conjunto de datos: 6725ffb449deb229c08f83469e2d3b0a32c68fea72e519a1d18f621f9028c5a4</w:t>
      </w:r>
    </w:p>
    <w:p>
      <w:pPr>
        <w:pStyle w:val="ListBullet"/>
        <w:spacing w:after="80"/>
      </w:pPr>
      <w:r>
        <w:rPr>
          <w:rFonts w:ascii="Arial" w:hAnsi="Arial"/>
          <w:b w:val="0"/>
          <w:i w:val="0"/>
          <w:color w:val="282828"/>
          <w:sz w:val="20"/>
        </w:rPr>
        <w:t>Versión del esquema de variables: Assigned Resource Open 7d V1</w:t>
      </w:r>
    </w:p>
    <w:p>
      <w:pPr>
        <w:pStyle w:val="ListBullet"/>
        <w:spacing w:after="80"/>
      </w:pPr>
      <w:r>
        <w:rPr>
          <w:rFonts w:ascii="Arial" w:hAnsi="Arial"/>
          <w:b w:val="0"/>
          <w:i w:val="0"/>
          <w:color w:val="282828"/>
          <w:sz w:val="20"/>
        </w:rPr>
        <w:t>Este informe se generó solo a partir de artefactos almacenados; no recompone ni recalcula métricas de entrenamiento de forma independiente.</w:t>
      </w:r>
    </w:p>
    <w:p>
      <w:pPr>
        <w:pStyle w:val="Heading1"/>
        <w:keepNext/>
        <w:spacing w:before="200" w:after="80"/>
      </w:pPr>
      <w:r>
        <w:rPr>
          <w:rFonts w:ascii="Arial" w:hAnsi="Arial"/>
          <w:b/>
          <w:i w:val="0"/>
          <w:color w:val="1F3A5F"/>
          <w:sz w:val="32"/>
        </w:rPr>
        <w:t>Implicaciones de implementación</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Para avanzar, se debe ampliar la captación de profesores para enriquecer la base de datos, lo que permitirá evaluar modelos más diversos y validar la robustez de las predicciones. También es esencial continuar recopilando etiquetas maduras y mejorar la cobertura de telemetría para las superficies de recomendación relacionadas. Estas acciones abordarán la limitación actual y apoyarán el objetivo de expandir la cobertura docente.</w:t>
            </w:r>
          </w:p>
        </w:tc>
      </w:tr>
    </w:tbl>
    <w:p/>
    <w:p>
      <w:pPr>
        <w:pStyle w:val="Heading1"/>
        <w:keepNext/>
        <w:spacing w:before="200" w:after="80"/>
      </w:pPr>
      <w:r>
        <w:rPr>
          <w:rFonts w:ascii="Arial" w:hAnsi="Arial"/>
          <w:b/>
          <w:i w:val="0"/>
          <w:color w:val="1F3A5F"/>
          <w:sz w:val="32"/>
        </w:rPr>
        <w:t>Limitaciones</w:t>
      </w:r>
    </w:p>
    <w:p>
      <w:pPr>
        <w:pStyle w:val="ListBullet"/>
        <w:spacing w:after="80"/>
      </w:pPr>
      <w:r>
        <w:rPr>
          <w:rFonts w:ascii="Arial" w:hAnsi="Arial"/>
          <w:b w:val="0"/>
          <w:i w:val="0"/>
          <w:color w:val="282828"/>
          <w:sz w:val="20"/>
        </w:rPr>
        <w:t>No se registraron riesgos validados adicionales para esta ejecución.</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905c78f640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6292c9064a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a08e1b6e6b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6725ffb449</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Holdout Predictions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56781ff543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901c6fcc8d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eae2a413ad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dc324cf04e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c3908eadda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e7cca38047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2a2eb389f3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assigned_resource_open_7d_dataset_summary.json</w:t>
      </w:r>
    </w:p>
    <w:p>
      <w:r>
        <w:rPr>
          <w:rFonts w:ascii="Arial" w:hAnsi="Arial"/>
          <w:b w:val="0"/>
          <w:i w:val="0"/>
          <w:color w:val="5A626F"/>
          <w:sz w:val="21"/>
        </w:rPr>
        <w:t>Nombre almacenado: assigned_resource_open_7d_feature_audit.csv</w:t>
      </w:r>
    </w:p>
    <w:p>
      <w:r>
        <w:rPr>
          <w:rFonts w:ascii="Arial" w:hAnsi="Arial"/>
          <w:b w:val="0"/>
          <w:i w:val="0"/>
          <w:color w:val="5A626F"/>
          <w:sz w:val="21"/>
        </w:rPr>
        <w:t>Nombre almacenado: assigned_resource_open_7d_findings_interpretation_report.md</w:t>
      </w:r>
    </w:p>
    <w:p>
      <w:r>
        <w:rPr>
          <w:rFonts w:ascii="Arial" w:hAnsi="Arial"/>
          <w:b w:val="0"/>
          <w:i w:val="0"/>
          <w:color w:val="5A626F"/>
          <w:sz w:val="21"/>
        </w:rPr>
        <w:t>Nombre almacenado: assigned_resource_open_7d_dataset_frozen.csv</w:t>
      </w:r>
    </w:p>
    <w:p>
      <w:r>
        <w:rPr>
          <w:rFonts w:ascii="Arial" w:hAnsi="Arial"/>
          <w:b w:val="0"/>
          <w:i w:val="0"/>
          <w:color w:val="5A626F"/>
          <w:sz w:val="21"/>
        </w:rPr>
        <w:t>Nombre almacenado: assigned_resource_open_7d_holdout_predictions.csv</w:t>
      </w:r>
    </w:p>
    <w:p>
      <w:r>
        <w:rPr>
          <w:rFonts w:ascii="Arial" w:hAnsi="Arial"/>
          <w:b w:val="0"/>
          <w:i w:val="0"/>
          <w:color w:val="5A626F"/>
          <w:sz w:val="21"/>
        </w:rPr>
        <w:t>Nombre almacenado: assigned_resource_open_7d_integrity_review.md</w:t>
      </w:r>
    </w:p>
    <w:p>
      <w:r>
        <w:rPr>
          <w:rFonts w:ascii="Arial" w:hAnsi="Arial"/>
          <w:b w:val="0"/>
          <w:i w:val="0"/>
          <w:color w:val="5A626F"/>
          <w:sz w:val="21"/>
        </w:rPr>
        <w:t>Nombre almacenado: assigned_resource_open_7d_label_audit.csv</w:t>
      </w:r>
    </w:p>
    <w:p>
      <w:r>
        <w:rPr>
          <w:rFonts w:ascii="Arial" w:hAnsi="Arial"/>
          <w:b w:val="0"/>
          <w:i w:val="0"/>
          <w:color w:val="5A626F"/>
          <w:sz w:val="21"/>
        </w:rPr>
        <w:t>Nombre almacenado: assigned_resource_open_7d_label_reconciliation.csv</w:t>
      </w:r>
    </w:p>
    <w:p>
      <w:r>
        <w:rPr>
          <w:rFonts w:ascii="Arial" w:hAnsi="Arial"/>
          <w:b w:val="0"/>
          <w:i w:val="0"/>
          <w:color w:val="5A626F"/>
          <w:sz w:val="21"/>
        </w:rPr>
        <w:t>Nombre almacenado: assigned_resource_open_7d_model_comparison.csv</w:t>
      </w:r>
    </w:p>
    <w:p>
      <w:r>
        <w:rPr>
          <w:rFonts w:ascii="Arial" w:hAnsi="Arial"/>
          <w:b w:val="0"/>
          <w:i w:val="0"/>
          <w:color w:val="5A626F"/>
          <w:sz w:val="21"/>
        </w:rPr>
        <w:t>Nombre almacenado: assigned_resource_open_7d_run_summary.json</w:t>
      </w:r>
    </w:p>
    <w:p>
      <w:r>
        <w:rPr>
          <w:rFonts w:ascii="Arial" w:hAnsi="Arial"/>
          <w:b w:val="0"/>
          <w:i w:val="0"/>
          <w:color w:val="5A626F"/>
          <w:sz w:val="21"/>
        </w:rPr>
        <w:t>Nombre almacenado: assigned_resource_open_7d_technical_report.md</w:t>
      </w:r>
    </w:p>
    <w:p>
      <w:pPr>
        <w:pStyle w:val="Heading2"/>
        <w:keepNext/>
        <w:spacing w:before="120" w:after="80"/>
      </w:pPr>
      <w:r>
        <w:rPr>
          <w:rFonts w:ascii="Arial" w:hAnsi="Arial"/>
          <w:b/>
          <w:i w:val="0"/>
          <w:color w:val="1F3A5F"/>
          <w:sz w:val="26"/>
        </w:rPr>
        <w:t>Notas de reunión y registro de decisión</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48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propuesta</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mejorar el sistema de recomendación del profesor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Responsable de la decisión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Anthony Gonzalez</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Fecha de revisión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enero de 2027</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Comentarios adicionales</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base de datos es muy limitada de momento, pero la estructura funciona bien para evaluar el modelo en el futuro.</w:t>
            </w:r>
          </w:p>
        </w:tc>
      </w:tr>
    </w:tbl>
    <w:p/>
    <w:p>
      <w:pPr>
        <w:sectPr>
          <w:headerReference w:type="default" r:id="rId9"/>
          <w:footerReference w:type="default" r:id="rId10"/>
          <w:pgSz w:w="12240" w:h="15840"/>
          <w:pgMar w:top="1152" w:right="1152" w:bottom="1080" w:left="1152" w:header="504" w:footer="504" w:gutter="0"/>
          <w:cols w:space="720"/>
          <w:docGrid w:linePitch="360"/>
        </w:sectPr>
      </w:pPr>
    </w:p>
    <w:p>
      <w:pPr>
        <w:pStyle w:val="Heading2"/>
        <w:keepNext/>
        <w:spacing w:before="120" w:after="80"/>
      </w:pPr>
      <w:r>
        <w:rPr>
          <w:rFonts w:ascii="Arial" w:hAnsi="Arial"/>
          <w:b/>
          <w:i w:val="0"/>
          <w:color w:val="1F3A5F"/>
          <w:sz w:val="26"/>
        </w:rPr>
        <w:t>Comparación completa de modelos</w:t>
      </w:r>
    </w:p>
    <w:p>
      <w:pPr>
        <w:pStyle w:val="Heading3"/>
        <w:keepNext/>
        <w:spacing w:before="120" w:after="80"/>
      </w:pPr>
      <w:r>
        <w:rPr>
          <w:rFonts w:ascii="Arial" w:hAnsi="Arial"/>
          <w:b/>
          <w:i w:val="0"/>
          <w:color w:val="17807E"/>
          <w:sz w:val="23"/>
        </w:rPr>
        <w:t>Discriminación y ranking</w:t>
      </w:r>
    </w:p>
    <w:tbl>
      <w:tblPr>
        <w:tblW w:type="dxa" w:w="11952"/>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Modelo</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ROC AUC</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Precisión media</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Exactitud balanceada</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F1</w:t>
            </w:r>
          </w:p>
        </w:tc>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Delta vs dummy en ROC AUC</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Regla de clase mayoritaria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0.7233416342111993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dummy</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0.7233416342111993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0.4911242603550296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0.4795688650213536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0.3846153846153846</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-0.0088757396449704</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 (reducida)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0.6686390532544378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0.6500564328767473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0.1686390532544378</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árbol de decisión</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0.5710059171597633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0.5491823869020821</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0.4347826086956522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0.0710059171597633</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bosque aleatorio</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0.7751479289940828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0.8507264344722537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0.7307692307692308</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0.7407407407407408</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0.2751479289940828</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boosting por gradiente en histogramas</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0.5976331360946746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0.5608946850251199</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0.7142857142857142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0.0976331360946746</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vectores de soporte</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0.591715976331361</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0.7418006269093227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0.5769230769230769</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0.5925925925925927</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0.0917159763313609</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k vecinos más cercanos</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0.6094674556213018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0.7267185670254724</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0.5517241379310345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0.1094674556213017</w:t>
            </w:r>
          </w:p>
        </w:tc>
      </w:tr>
    </w:tbl>
    <w:p>
      <w:pPr>
        <w:spacing w:before="20" w:after="160"/>
      </w:pPr>
      <w:r>
        <w:rPr>
          <w:rFonts w:ascii="Arial" w:hAnsi="Arial"/>
          <w:b w:val="0"/>
          <w:i/>
          <w:color w:val="5A626F"/>
          <w:sz w:val="17"/>
        </w:rPr>
        <w:t>Comparación legible de los modelos supervisados almacenados en la ejecución validada.</w:t>
      </w:r>
    </w:p>
    <w:p/>
    <w:p>
      <w:pPr>
        <w:pStyle w:val="Heading3"/>
        <w:keepNext/>
        <w:spacing w:before="120" w:after="80"/>
      </w:pPr>
      <w:r>
        <w:rPr>
          <w:rFonts w:ascii="Arial" w:hAnsi="Arial"/>
          <w:b/>
          <w:i w:val="0"/>
          <w:color w:val="17807E"/>
          <w:sz w:val="23"/>
        </w:rPr>
        <w:t>Calibración y umbrales</w:t>
      </w:r>
    </w:p>
    <w:tbl>
      <w:tblPr>
        <w:tblW w:type="dxa" w:w="12096"/>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Modelo</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Pérdida logarítmica</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Puntuación de Brier</w:t>
            </w:r>
          </w:p>
        </w:tc>
        <w:tc>
          <w:tcPr>
            <w:tcW w:type="dxa" w:w="201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Tasa positiva predicha</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Mejor F1</w:t>
            </w:r>
          </w:p>
        </w:tc>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Mejor exactitud balanceada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Regla de clase mayoritaria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0.713558177820073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1.0</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dummy</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0.713558177820073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1.0</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1.180388592324232</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0.4011212271393161</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0.2692307692307692</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0.7096774193548387</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0.6538461538461539</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 (reducida)</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0.942149463018076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0.3231121058664956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0.1153846153846153</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0.8125000000000001</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0.7692307692307692</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árbol de decisión</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0.9636787885103064</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0.3490541193853108</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0.3846153846153846</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bosque aleatorio</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0.6113182513397637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0.2108542582106922</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boosting por gradiente en histogramas</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0.7080518565629549</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0.2527560426022929</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0.5769230769230769</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vectores de soporte</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0.7038006156870968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0.2538600452369084</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0.7307692307692308</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k vecinos más cercanos</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0.6648033018425353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0.2504107988805867</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0.6153846153846154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bl>
    <w:p>
      <w:pPr>
        <w:spacing w:before="20" w:after="160"/>
      </w:pPr>
      <w:r>
        <w:rPr>
          <w:rFonts w:ascii="Arial" w:hAnsi="Arial"/>
          <w:b w:val="0"/>
          <w:i/>
          <w:color w:val="5A626F"/>
          <w:sz w:val="17"/>
        </w:rPr>
        <w:t>Comparación legible de los modelos supervisados almacenados en la ejecución validada.</w:t>
      </w:r>
    </w:p>
    <w:p/>
    <w:p>
      <w:pPr>
        <w:pStyle w:val="Heading3"/>
        <w:keepNext/>
        <w:spacing w:before="120" w:after="80"/>
      </w:pPr>
      <w:r>
        <w:rPr>
          <w:rFonts w:ascii="Arial" w:hAnsi="Arial"/>
          <w:b/>
          <w:i w:val="0"/>
          <w:color w:val="17807E"/>
          <w:sz w:val="23"/>
        </w:rPr>
        <w:t>Rendimiento y estado</w:t>
      </w:r>
    </w:p>
    <w:tbl>
      <w:tblPr>
        <w:tblW w:type="dxa" w:w="13420"/>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299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Modelo</w:t>
            </w:r>
          </w:p>
        </w:tc>
        <w:tc>
          <w:tcPr>
            <w:tcW w:type="dxa" w:w="171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Estado</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Media de la métrica principal en VC</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Varianza de la métrica principal en VC</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Duración de entrenamiento (s)</w:t>
            </w:r>
          </w:p>
        </w:tc>
        <w:tc>
          <w:tcPr>
            <w:tcW w:type="dxa" w:w="228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Duración de inferencia (s)</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Regla de clase mayoritaria</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dummy</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0.0033144589979201</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0.0025230830069631</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0.5574314574314574</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0.0157121826385895</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0.0048862919793464</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0.0017651669913902</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Regresión logística (reducida)</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0.5773160173160173</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0.0178323278132801</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0.0037060829927213</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0.0013539590290747</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árbol de decisión</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0.4927272727272728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0.0002115702479338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0.0037010840023867</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0.001708583033178</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bosque aleatorio</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0.5679942279942279</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0.0265621242313882</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0.0309458749834448</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0.0037122500361874</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boosting por gradiente en histogramas</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0.4985858585858586</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0.0102559330680542</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0.0596622499870136</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0.0038669999921694</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vectores de soporte</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0.5438095238095239</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0.0167736619961728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0.00595775002148</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0.0020606670295819</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Clasificador de k vecinos más cercanos</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Éxito</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0.5688600288600287</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0.0078327900734827</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0.0047499579959549</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0.0022733340156264</w:t>
            </w:r>
          </w:p>
        </w:tc>
      </w:tr>
    </w:tbl>
    <w:p>
      <w:pPr>
        <w:spacing w:before="20" w:after="160"/>
      </w:pPr>
      <w:r>
        <w:rPr>
          <w:rFonts w:ascii="Arial" w:hAnsi="Arial"/>
          <w:b w:val="0"/>
          <w:i/>
          <w:color w:val="5A626F"/>
          <w:sz w:val="17"/>
        </w:rPr>
        <w:t>Comparación legible de los modelos supervisados almacenados en la ejecución validada.</w:t>
      </w:r>
    </w:p>
    <w:p/>
    <w:sectPr w:rsidR="00FC693F" w:rsidRPr="0006063C" w:rsidSect="00034616">
      <w:headerReference w:type="default" r:id="rId22"/>
      <w:footerReference w:type="default" r:id="rId23"/>
      <w:pgSz w:w="15840" w:h="12240" w:orient="landscape"/>
      <w:pgMar w:top="936"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Técnico de Ciencia de Datos · ebcf382089d2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Técnico de Ciencia de Datos · ebcf382089d2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