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Centro de Inteligencia Educativa de Classio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Informe Técnico de Ciencia de Datos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Paquete de validación técnica para revisores internos autorizados.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Estado de validación: Validado - sin un ganador concluyente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Generado el 17/07/2026 21:36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Ejecución validada: 866777f1db54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Huella del conjunto de datos: 2e2973e26148...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Control documental y metadatos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Estado de la ejecución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Validado - sin un ganador concluyente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Integridad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Passed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Madurez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Solo exploratorio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objetivo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Opened Within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esquema de variables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Assigned Resource Open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ID de ejecución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866777f1db54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Huella del conjunto de datos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2e2973e26148420c255bec1a2f49e6d66a73ed1a33fc40acd5734843458b10cf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Definición del experimento</w:t>
      </w:r>
    </w:p>
    <w:p>
      <w:r>
        <w:rPr>
          <w:rFonts w:ascii="Arial" w:hAnsi="Arial"/>
          <w:b w:val="0"/>
          <w:i w:val="0"/>
          <w:color w:val="282828"/>
          <w:sz w:val="21"/>
        </w:rPr>
        <w:t>Can Classio predict whether a student will open an assigned resource within seven days of assignment?</w:t>
      </w:r>
    </w:p>
    <w:p>
      <w:r>
        <w:rPr>
          <w:rFonts w:ascii="Arial" w:hAnsi="Arial"/>
          <w:b w:val="0"/>
          <w:i w:val="0"/>
          <w:color w:val="282828"/>
          <w:sz w:val="21"/>
        </w:rPr>
        <w:t>Prediction target: opened_within_7d, based on assignment-open behavior within a seven-day window.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Tablas fuente y lógica de extracción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Source tables: teacher_assignments, teacher_assignment_attempts, practice_sessions, resource_exposures, and resource_exposure_events.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Extraction logic is frozen in the validated run artifacts and summarized in the dataset summary JSON.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feature construction is constrained to information known at or before assignment time.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Contabilidad del conjunto de datos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127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92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balance_fa102107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1. Stored target/class distribution.</w:t>
      </w:r>
    </w:p>
    <w:p>
      <w:r>
        <w:drawing>
          <wp:inline xmlns:a="http://schemas.openxmlformats.org/drawingml/2006/main" xmlns:pic="http://schemas.openxmlformats.org/drawingml/2006/picture">
            <wp:extent cx="5852160" cy="1983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_fa102107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2. Assignment timeline and chronological split cutoff.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Construcción y conciliación de etiquetas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Final verdict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Validado - sin un ganador concluyente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Exact row-level reconciliation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Legacy audit reconciliation applicable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61, "unknown": 13}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Phase 3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72, "unknown": 2}</w:t>
            </w:r>
          </w:p>
        </w:tc>
      </w:tr>
    </w:tbl>
    <w:p/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run was generated by the current Phase 3.6 pipeline, so historical Phase 3.5 audit-count reconciliation is not required for validation.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Controles contra fuga de información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holdout keeps future assignments out of development data.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timestamps are checked against assignment time to enforce past-only availability.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missingness explanations in the stored review confirm that sparsity comes from history availability rather than identifier mismatch.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Esquema y salud de variables</w:t>
      </w:r>
    </w:p>
    <w:p>
      <w:r>
        <w:drawing>
          <wp:inline xmlns:a="http://schemas.openxmlformats.org/drawingml/2006/main" xmlns:pic="http://schemas.openxmlformats.org/drawingml/2006/picture">
            <wp:extent cx="5852160" cy="3520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issingness_fa102107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3. Highest overall missingness rates from the stored feature audit.</w:t>
      </w:r>
    </w:p>
    <w:tbl>
      <w:tblPr>
        <w:tblW w:type="dxa" w:w="9676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atLeast"/>
          <w:cantSplit/>
          <w:tblHeader w:val="true"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Feature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Source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Availability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Overall missing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Dev missing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Holdout missing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Included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Explanation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Student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31.5%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40.0%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Sí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Teacher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22.05%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28.0%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Sí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Resource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73.23%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84.0%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Sí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Tabla de salud de variables basada en la auditoría y la revisión almacenadas.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Pipelines de preprocesamiento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Missing values are imputed only when the stored evaluation pipeline marked the feature as retained.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Categorical features are encoded within the stored pipeline configuration; no report-time transformation modifies model outcomes.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Fully missing development-slice features are automatically excluded before fitting, as documented in the integrity review.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Corte cronológico y validación cruzada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Development rows: 100 with 60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Holdout rows: 25 with 12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Cross-validation fold counts and mean metrics are read directly from the stored model comparison artifact.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Configuraciones de modelo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Modelo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Selected hyperparameters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Regla de clase mayoritaria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Strategy: Majority Class Rule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dummy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Constant: n/a; Random State: n/a; Strategy: prior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 (reducida)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árbol de decisión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Ccp Alpha: 0.0; Class Weight: n/a; Criterion: gini; Max Depth: 3; Max Features: n/a; Max Leaf Nodes: n/a; Min Impurity Decrease: 0.0; Min Samples Leaf: 4; Min Samples Split: 2; Min Weight Fraction Lea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Bootstrap: Yes; Ccp Alpha: 0.0; Class Weight: n/a; Criterion: gini; Max Depth: 4; Max Features: sqrt; Max Leaf Nodes: n/a; Max Samples: n/a; Min Impurity Decrease: 0.0; Min Samples Leaf: 3; Min Sample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boosting por gradiente en histogramas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Categorical Features: From Dtype; Class Weight: n/a; Early Stopping: auto; Interaction Cst: n/a; L2 Regularization: 0.0; Learning Rate: 0.08; Loss: Log Loss; Max Bins: 255; Max Depth: 3; Max Features: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vectores de soporte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Break Ties: No; Cache Size: 200; Class Weight: n/a; Coef0: 0.0; Decision Function Shape: ovr; Degree: 3; Gamma: scale; Kernel: rbf; Max Iter: -1; Probability: Yes; Random State: 20260716; Shri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k vecinos más cercanos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Algorithm: auto; Leaf Size: 30; Metric: minkowski; Metric Params: n/a; N Jobs: n/a; N Neighbors: 5; P: 2; Weights: distance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Resultados base y comparación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fa102107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4. Model metric comparison snapshot using stored ROC AUC values.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a102107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5. Training-runtime comparison from stored model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umbrales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ROC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thresholded classifier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Calibration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precision-recall ranking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383280" cy="3250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fa102107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6. Confusion matrix for the stored baseline.</w:t>
      </w:r>
    </w:p>
    <w:p>
      <w:r>
        <w:drawing>
          <wp:inline xmlns:a="http://schemas.openxmlformats.org/drawingml/2006/main" xmlns:pic="http://schemas.openxmlformats.org/drawingml/2006/picture">
            <wp:extent cx="3383280" cy="3051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fa102107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05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7. Confusion matrix for the primary ROC leader.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ROC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fa102107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9. ROC curves for score-capable stored models.</w:t>
      </w:r>
    </w:p>
    <w:p>
      <w:r>
        <w:rPr>
          <w:rFonts w:ascii="Arial" w:hAnsi="Arial"/>
          <w:b w:val="0"/>
          <w:i w:val="0"/>
          <w:color w:val="282828"/>
          <w:sz w:val="21"/>
        </w:rPr>
        <w:t>La comparación no estableció un ganador global estadísticamente robusto. Random Forest lideró varios criterios almacenados, pero el holdout pequeño y la muestra de un solo docente impiden una conclusión apta para producción.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precision-recall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fa102107b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10. Precision-recall curves for the same stored holdout predictions.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calibración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_fa102107b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11. Calibration curves derived from stored probabilities.</w:t>
      </w:r>
    </w:p>
    <w:p>
      <w:r>
        <w:drawing>
          <wp:inline xmlns:a="http://schemas.openxmlformats.org/drawingml/2006/main" xmlns:pic="http://schemas.openxmlformats.org/drawingml/2006/picture">
            <wp:extent cx="5852160" cy="3737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_distribution_fa102107b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12. Predicted-probability distributions for the stored leader, threshold leader, and baseline.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errores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False positives and false negatives can be inspected only through the stored anonymized holdout predictions; no raw user identifiers are exposed.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Subgroup sample sizes are too small for strong technical claims by topic, student-history bucket, or resource type, so subgroup interpretation should remain descriptive only.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confusion matrices show that threshold choice changes the balance between misses and false alarms more than it changes the overall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Incertidumbre e intervalos de confianza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Confidence intervals are read from the stored model comparison CSV.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Small holdout size and single-teacher coverage mean all uncertainty intervals should be interpreted conservatively.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Stored overall verdict: Validado - sin un ganador concluyente.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Rendimiento temporal y recursos</w:t>
      </w:r>
    </w:p>
    <w:p>
      <w:r>
        <w:rPr>
          <w:rFonts w:ascii="Arial" w:hAnsi="Arial"/>
          <w:b w:val="0"/>
          <w:i w:val="0"/>
          <w:color w:val="282828"/>
          <w:sz w:val="21"/>
        </w:rPr>
        <w:t>Training and inference durations are reported directly from the validated model comparison artifact and shown in Figure 5.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Resultados de la revisión de integridad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 revisión validada concluye que esta ejecución sirve como paquete de evidencia técnica, pero no como decisión de despliegue.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intended models executed successfully in the validated run.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Artifact consistency checks confirmed shared run ID and data fingerprint across stored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Conclusiones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La comparación no estableció un ganador global estadísticamente robusto. Random Forest lideró varios criterios almacenados, pero el holdout pequeño y la muestra de un solo docente impiden una conclusión apta para producción.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Reproducibilidad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Run ID: 866777f1db54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Dataset fingerprint: 2e2973e26148420c255bec1a2f49e6d66a73ed1a33fc40acd5734843458b10cf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schema version: Assigned Resource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report was generated from stored artifacts only; it does not recompute training metrics independently.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Implicaciones de implementación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Recommendation: maintain current production logic, expand teacher coverage, and revisit only after broader validated evidence is available.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Limitaciones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se registraron riesgos validados adicionales para esta ejecución.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Apéndice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Manifiesto de artefactos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Artefacto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Propósito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Disponibilidad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6a427e739d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accounting and counts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d308129e29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availability audit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63a91281e2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6a427e739d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2e2973e261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holdout probabilities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64b7f03690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40d44b82ed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e48fe47dbe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review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26a345407d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model metrics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00ca70f48d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run summary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e6b8dfd559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3d0ad6dcea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Manifiesto de artefactos del paquete técnico sin exponer rutas del repositorio.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assigned_resource_open_7d_academic_report.md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assigned_resource_open_7d_academic_report.md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assigned_resource_open_7d_technical_report.md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Full model comparison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Discrimination and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Precisión media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Exactitud balanceada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en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0.0256410256410256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0.1794871794871795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0.0961538461538461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0.3269230769230768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0.1538461538461538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Calibration and thresholding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Pérdida logarítmica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Puntuación de Brier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Tasa positiva predicha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Mejor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Mejor exactitud balanceada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1.052748427570208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0.3781862659271294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0.7333333333333334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0.6891025641025641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0.843024899127276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0.29861011367227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0.9378484235533544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0.3374162841607231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0.604947669170616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0.2077426380857454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0.6956521739130435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0.717948717948718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0.687396449712456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0.2429245021301746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0.6874999999999999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0.6121794871794872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0.6900437279937052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0.2471304247730718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0.6395257728302817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0.2393081031335839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0.6857142857142856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Runtime and status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Estado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Media de la métrica principal en VC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Varianza de la métrica principal en VC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Duración de entrenamiento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Duración de inferencia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0.003332375024911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0.0017700829776003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0.5574314574314574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0.0157121826385895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0.0050511250155977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0.0019493330037221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0.5773160173160173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0.0178323278132801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0.0035093749756924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0.0013493750011548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0.4927272727272728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0.0002115702479338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0.003642541996669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0.0017192079685628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0.5679942279942279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0.0265621242313882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0.0307852910482324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0.003685834002681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0.4985858585858586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0.0102559330680542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0.0608708329964429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0.0048342499649152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0.5438095238095239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0.0167736619961728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0.0054252080153673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0.0019129589782096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0.5688600288600287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0.0078327900734827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0.004272749996744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0.0022052080021239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sectPr w:rsidR="00FC693F" w:rsidRPr="0006063C" w:rsidSect="00034616">
      <w:headerReference w:type="default" r:id="rId22"/>
      <w:footerReference w:type="default" r:id="rId23"/>
      <w:pgSz w:w="15840" w:h="12240" w:orient="landscape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Técnico de Ciencia de Datos · 866777f1db54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Técnico de Ciencia de Datos · 866777f1db54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