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60"/>
        <w:jc w:val="center"/>
      </w:pPr>
      <w:r>
        <w:rPr>
          <w:rFonts w:ascii="Arial" w:hAnsi="Arial"/>
          <w:b/>
          <w:i w:val="0"/>
          <w:color w:val="B7791F"/>
          <w:sz w:val="23"/>
        </w:rPr>
        <w:t>Classio Educational Intelligence Center</w:t>
      </w:r>
    </w:p>
    <w:p>
      <w:pPr>
        <w:spacing w:before="320" w:after="120"/>
        <w:jc w:val="center"/>
      </w:pPr>
      <w:r>
        <w:rPr>
          <w:rFonts w:ascii="Arial" w:hAnsi="Arial"/>
          <w:b/>
          <w:i w:val="0"/>
          <w:color w:val="1F3A5F"/>
          <w:sz w:val="48"/>
        </w:rPr>
        <w:t>Technical Data Science Report</w:t>
      </w:r>
    </w:p>
    <w:p>
      <w:pPr>
        <w:spacing w:after="320"/>
        <w:jc w:val="center"/>
      </w:pPr>
      <w:r>
        <w:rPr>
          <w:rFonts w:ascii="Arial" w:hAnsi="Arial"/>
          <w:b w:val="0"/>
          <w:i w:val="0"/>
          <w:color w:val="5A626F"/>
          <w:sz w:val="22"/>
        </w:rPr>
        <w:t>Technical validation package for authorized internal reviewers.</w:t>
      </w:r>
    </w:p>
    <w:p>
      <w:pPr>
        <w:spacing w:after="320"/>
        <w:jc w:val="center"/>
      </w:pPr>
      <w:r>
        <w:rPr>
          <w:rFonts w:ascii="Arial" w:hAnsi="Arial"/>
          <w:b/>
          <w:i w:val="0"/>
          <w:color w:val="17807E"/>
          <w:sz w:val="21"/>
        </w:rPr>
        <w:t>Validation status: Validated - no robust winner</w:t>
      </w:r>
    </w:p>
    <w:p>
      <w:pPr>
        <w:spacing w:after="80"/>
        <w:jc w:val="center"/>
      </w:pPr>
      <w:r>
        <w:rPr>
          <w:rFonts w:ascii="Arial" w:hAnsi="Arial"/>
          <w:b w:val="0"/>
          <w:i w:val="0"/>
          <w:color w:val="5A626F"/>
          <w:sz w:val="20"/>
        </w:rPr>
        <w:t>Generated on 2026-07-17 18:12</w:t>
      </w:r>
    </w:p>
    <w:p>
      <w:pPr>
        <w:spacing w:after="80"/>
        <w:jc w:val="center"/>
      </w:pPr>
      <w:r>
        <w:rPr>
          <w:rFonts w:ascii="Arial" w:hAnsi="Arial"/>
          <w:b w:val="0"/>
          <w:i w:val="0"/>
          <w:color w:val="5A626F"/>
          <w:sz w:val="20"/>
        </w:rPr>
        <w:t>Validated run: 866777f1db54</w:t>
      </w:r>
    </w:p>
    <w:p>
      <w:pPr>
        <w:spacing w:after="80"/>
        <w:jc w:val="center"/>
      </w:pPr>
      <w:r>
        <w:rPr>
          <w:rFonts w:ascii="Arial" w:hAnsi="Arial"/>
          <w:b w:val="0"/>
          <w:i w:val="0"/>
          <w:color w:val="5A626F"/>
          <w:sz w:val="20"/>
        </w:rPr>
        <w:t>Dataset fingerprint: 2e2973e26148...</w:t>
      </w:r>
    </w:p>
    <w:p>
      <w:r>
        <w:br w:type="page"/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Document control and metadata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rHeight w:hRule="atLeast"/>
          <w:cantSplit/>
          <w:tblHeader w:val="true"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Field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Value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Run status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Validated - no robust winner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Integrity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Passed NO Robust Winner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Maturity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Exploratory only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Target version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Opened Within 7d V1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Feature schema version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Assigned Resource Open 7d V1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Run ID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866777f1db54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Dataset fingerprint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2e2973e26148420c255bec1a2f49e6d66a73ed1a33fc40acd5734843458b10cf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Chronological cutoff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2026-06-30T17:56:21.615697+00:00</w:t>
            </w:r>
          </w:p>
        </w:tc>
      </w:tr>
    </w:tbl>
    <w:p/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Experiment definition</w:t>
      </w:r>
    </w:p>
    <w:p>
      <w:r>
        <w:rPr>
          <w:rFonts w:ascii="Arial" w:hAnsi="Arial"/>
          <w:b w:val="0"/>
          <w:i w:val="0"/>
          <w:color w:val="282828"/>
          <w:sz w:val="21"/>
        </w:rPr>
        <w:t>Can Classio predict whether a student will open an assigned resource within seven days of assignment?</w:t>
      </w:r>
    </w:p>
    <w:p>
      <w:r>
        <w:rPr>
          <w:rFonts w:ascii="Arial" w:hAnsi="Arial"/>
          <w:b w:val="0"/>
          <w:i w:val="0"/>
          <w:color w:val="282828"/>
          <w:sz w:val="21"/>
        </w:rPr>
        <w:t>Prediction target: opened_within_7d, based on assignment-open behavior within a seven-day window.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Source tables and extraction logic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Source tables: teacher_assignments, teacher_assignment_attempts, practice_sessions, resource_exposures, and resource_exposure_events.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Extraction logic is frozen in the validated run artifacts and summarized in the dataset summary JSON.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All feature construction is constrained to information known at or before assignment time.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Dataset accounting</w:t>
      </w:r>
    </w:p>
    <w:tbl>
      <w:tblPr>
        <w:tblW w:type="dxa" w:w="9647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rHeight w:hRule="atLeast"/>
          <w:cantSplit/>
          <w:tblHeader w:val="true"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Field</w:t>
            </w:r>
          </w:p>
        </w:tc>
        <w:tc>
          <w:tcPr>
            <w:tcW w:type="dxa" w:w="662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Value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Source rows</w:t>
            </w:r>
          </w:p>
        </w:tc>
        <w:tc>
          <w:tcPr>
            <w:tcW w:type="dxa" w:w="662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127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Included rows</w:t>
            </w:r>
          </w:p>
        </w:tc>
        <w:tc>
          <w:tcPr>
            <w:tcW w:type="dxa" w:w="662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125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Positives</w:t>
            </w:r>
          </w:p>
        </w:tc>
        <w:tc>
          <w:tcPr>
            <w:tcW w:type="dxa" w:w="662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72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Negatives</w:t>
            </w:r>
          </w:p>
        </w:tc>
        <w:tc>
          <w:tcPr>
            <w:tcW w:type="dxa" w:w="662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53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Right-censored</w:t>
            </w:r>
          </w:p>
        </w:tc>
        <w:tc>
          <w:tcPr>
            <w:tcW w:type="dxa" w:w="662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2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Teachers represented</w:t>
            </w:r>
          </w:p>
        </w:tc>
        <w:tc>
          <w:tcPr>
            <w:tcW w:type="dxa" w:w="662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1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Students represented</w:t>
            </w:r>
          </w:p>
        </w:tc>
        <w:tc>
          <w:tcPr>
            <w:tcW w:type="dxa" w:w="662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15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Resources represented</w:t>
            </w:r>
          </w:p>
        </w:tc>
        <w:tc>
          <w:tcPr>
            <w:tcW w:type="dxa" w:w="662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60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Date range</w:t>
            </w:r>
          </w:p>
        </w:tc>
        <w:tc>
          <w:tcPr>
            <w:tcW w:type="dxa" w:w="662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2026-04-10T11:54:00.263328+00:00 to 2026-07-12T13:51:10.714517+00:00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Chronological cutoff</w:t>
            </w:r>
          </w:p>
        </w:tc>
        <w:tc>
          <w:tcPr>
            <w:tcW w:type="dxa" w:w="662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2026-06-30T17:56:21.615697+00:00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Development rows</w:t>
            </w:r>
          </w:p>
        </w:tc>
        <w:tc>
          <w:tcPr>
            <w:tcW w:type="dxa" w:w="662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100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Holdout rows</w:t>
            </w:r>
          </w:p>
        </w:tc>
        <w:tc>
          <w:tcPr>
            <w:tcW w:type="dxa" w:w="662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25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Excluded: Observation Window Open</w:t>
            </w:r>
          </w:p>
        </w:tc>
        <w:tc>
          <w:tcPr>
            <w:tcW w:type="dxa" w:w="662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2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120640" cy="30920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el_balance_fa102107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092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</w:pPr>
      <w:r>
        <w:rPr>
          <w:rFonts w:ascii="Arial" w:hAnsi="Arial"/>
          <w:b w:val="0"/>
          <w:i/>
          <w:color w:val="5A626F"/>
          <w:sz w:val="17"/>
        </w:rPr>
        <w:t>Figure 1. Stored target/class distribution.</w:t>
      </w:r>
    </w:p>
    <w:p>
      <w:r>
        <w:drawing>
          <wp:inline xmlns:a="http://schemas.openxmlformats.org/drawingml/2006/main" xmlns:pic="http://schemas.openxmlformats.org/drawingml/2006/picture">
            <wp:extent cx="5852160" cy="19835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lit_timeline_fa102107b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983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</w:pPr>
      <w:r>
        <w:rPr>
          <w:rFonts w:ascii="Arial" w:hAnsi="Arial"/>
          <w:b w:val="0"/>
          <w:i/>
          <w:color w:val="5A626F"/>
          <w:sz w:val="17"/>
        </w:rPr>
        <w:t>Figure 2. Assignment timeline and chronological split cutoff.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Label construction and reconciliation</w:t>
      </w:r>
    </w:p>
    <w:tbl>
      <w:tblPr>
        <w:tblW w:type="dxa" w:w="9647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rHeight w:hRule="atLeast"/>
          <w:cantSplit/>
          <w:tblHeader w:val="true"/>
        </w:trP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Field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Value</w:t>
            </w:r>
          </w:p>
        </w:tc>
      </w:tr>
      <w:tr>
        <w:trPr>
          <w:trHeight w:hRule="atLeast"/>
          <w:cantSplit/>
        </w:trP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Final verdict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Validated - no robust winner</w:t>
            </w:r>
          </w:p>
        </w:tc>
      </w:tr>
      <w:tr>
        <w:trPr>
          <w:trHeight w:hRule="atLeast"/>
          <w:cantSplit/>
        </w:trP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Exact row-level reconciliation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Yes</w:t>
            </w:r>
          </w:p>
        </w:tc>
      </w:tr>
      <w:tr>
        <w:trPr>
          <w:trHeight w:hRule="atLeast"/>
          <w:cantSplit/>
        </w:trP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Legacy audit reconciliation applicable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No</w:t>
            </w:r>
          </w:p>
        </w:tc>
      </w:tr>
      <w:tr>
        <w:trPr>
          <w:trHeight w:hRule="atLeast"/>
          <w:cantSplit/>
        </w:trP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Audit counts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{"negative": 53, "positive": 61, "unknown": 13}</w:t>
            </w:r>
          </w:p>
        </w:tc>
      </w:tr>
      <w:tr>
        <w:trPr>
          <w:trHeight w:hRule="atLeast"/>
          <w:cantSplit/>
        </w:trP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Phase 3 counts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{"negative": 53, "positive": 72, "unknown": 2}</w:t>
            </w:r>
          </w:p>
        </w:tc>
      </w:tr>
    </w:tbl>
    <w:p/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This run was generated by the current Phase 3.6 pipeline, so historical Phase 3.5 audit-count reconciliation is not required for validation.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Leakage controls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Chronological holdout keeps future assignments out of development data.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Feature timestamps are checked against assignment time to enforce past-only availability.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Feature missingness explanations in the stored review confirm that sparsity comes from history availability rather than identifier mismatch.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Feature schema and feature health</w:t>
      </w:r>
    </w:p>
    <w:p>
      <w:r>
        <w:drawing>
          <wp:inline xmlns:a="http://schemas.openxmlformats.org/drawingml/2006/main" xmlns:pic="http://schemas.openxmlformats.org/drawingml/2006/picture">
            <wp:extent cx="5852160" cy="352026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missingness_fa102107b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20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</w:pPr>
      <w:r>
        <w:rPr>
          <w:rFonts w:ascii="Arial" w:hAnsi="Arial"/>
          <w:b w:val="0"/>
          <w:i/>
          <w:color w:val="5A626F"/>
          <w:sz w:val="17"/>
        </w:rPr>
        <w:t>Figure 3. Highest overall missingness rates from the stored feature audit.</w:t>
      </w:r>
    </w:p>
    <w:tbl>
      <w:tblPr>
        <w:tblW w:type="dxa" w:w="9676"/>
        <w:jc w:val="left"/>
        <w:tblLayout w:type="fixed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rPr>
          <w:trHeight w:hRule="atLeast"/>
          <w:cantSplit/>
          <w:tblHeader w:val="true"/>
        </w:trPr>
        <w:tc>
          <w:tcPr>
            <w:tcW w:type="dxa" w:w="102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Feature</w:t>
            </w:r>
          </w:p>
        </w:tc>
        <w:tc>
          <w:tcPr>
            <w:tcW w:type="dxa" w:w="102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Source</w:t>
            </w:r>
          </w:p>
        </w:tc>
        <w:tc>
          <w:tcPr>
            <w:tcW w:type="dxa" w:w="11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Availability</w:t>
            </w:r>
          </w:p>
        </w:tc>
        <w:tc>
          <w:tcPr>
            <w:tcW w:type="dxa" w:w="88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Overall missing</w:t>
            </w:r>
          </w:p>
        </w:tc>
        <w:tc>
          <w:tcPr>
            <w:tcW w:type="dxa" w:w="88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Dev missing</w:t>
            </w:r>
          </w:p>
        </w:tc>
        <w:tc>
          <w:tcPr>
            <w:tcW w:type="dxa" w:w="102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Holdout missing</w:t>
            </w:r>
          </w:p>
        </w:tc>
        <w:tc>
          <w:tcPr>
            <w:tcW w:type="dxa" w:w="68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Included</w:t>
            </w:r>
          </w:p>
        </w:tc>
        <w:tc>
          <w:tcPr>
            <w:tcW w:type="dxa" w:w="299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Explanation</w:t>
            </w:r>
          </w:p>
        </w:tc>
      </w:tr>
      <w:tr>
        <w:trPr>
          <w:trHeight w:hRule="atLeast"/>
          <w:cantSplit/>
        </w:trPr>
        <w:tc>
          <w:tcPr>
            <w:tcW w:type="dxa" w:w="102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Prior Student Assignment Open Rate</w:t>
            </w:r>
          </w:p>
        </w:tc>
        <w:tc>
          <w:tcPr>
            <w:tcW w:type="dxa" w:w="102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Stored review</w:t>
            </w:r>
          </w:p>
        </w:tc>
        <w:tc>
          <w:tcPr>
            <w:tcW w:type="dxa" w:w="11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Past-only</w:t>
            </w:r>
          </w:p>
        </w:tc>
        <w:tc>
          <w:tcPr>
            <w:tcW w:type="dxa" w:w="88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31.5%</w:t>
            </w:r>
          </w:p>
        </w:tc>
        <w:tc>
          <w:tcPr>
            <w:tcW w:type="dxa" w:w="88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40.0%</w:t>
            </w:r>
          </w:p>
        </w:tc>
        <w:tc>
          <w:tcPr>
            <w:tcW w:type="dxa" w:w="102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0.0%</w:t>
            </w:r>
          </w:p>
        </w:tc>
        <w:tc>
          <w:tcPr>
            <w:tcW w:type="dxa" w:w="68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Yes</w:t>
            </w:r>
          </w:p>
        </w:tc>
        <w:tc>
          <w:tcPr>
            <w:tcW w:type="dxa" w:w="299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No identifier mismatch was found. Missing values are produced by the feature-construction rule that only uses strictly earlier mature history. For early assignments there is no mature prior history yet; resource-level sparsity is especially severe for prior_resource_open_rate.</w:t>
            </w:r>
          </w:p>
        </w:tc>
      </w:tr>
      <w:tr>
        <w:trPr>
          <w:trHeight w:hRule="atLeast"/>
          <w:cantSplit/>
        </w:trPr>
        <w:tc>
          <w:tcPr>
            <w:tcW w:type="dxa" w:w="102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Prior Teacher Assignment Open Rate</w:t>
            </w:r>
          </w:p>
        </w:tc>
        <w:tc>
          <w:tcPr>
            <w:tcW w:type="dxa" w:w="102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Stored review</w:t>
            </w:r>
          </w:p>
        </w:tc>
        <w:tc>
          <w:tcPr>
            <w:tcW w:type="dxa" w:w="11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Past-only</w:t>
            </w:r>
          </w:p>
        </w:tc>
        <w:tc>
          <w:tcPr>
            <w:tcW w:type="dxa" w:w="88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22.05%</w:t>
            </w:r>
          </w:p>
        </w:tc>
        <w:tc>
          <w:tcPr>
            <w:tcW w:type="dxa" w:w="88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28.0%</w:t>
            </w:r>
          </w:p>
        </w:tc>
        <w:tc>
          <w:tcPr>
            <w:tcW w:type="dxa" w:w="102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0.0%</w:t>
            </w:r>
          </w:p>
        </w:tc>
        <w:tc>
          <w:tcPr>
            <w:tcW w:type="dxa" w:w="68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Yes</w:t>
            </w:r>
          </w:p>
        </w:tc>
        <w:tc>
          <w:tcPr>
            <w:tcW w:type="dxa" w:w="299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No identifier mismatch was found. Missing values are produced by the feature-construction rule that only uses strictly earlier mature history. For early assignments there is no mature prior history yet; resource-level sparsity is especially severe for prior_resource_open_rate.</w:t>
            </w:r>
          </w:p>
        </w:tc>
      </w:tr>
      <w:tr>
        <w:trPr>
          <w:trHeight w:hRule="atLeast"/>
          <w:cantSplit/>
        </w:trPr>
        <w:tc>
          <w:tcPr>
            <w:tcW w:type="dxa" w:w="102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Prior Resource Open Rate</w:t>
            </w:r>
          </w:p>
        </w:tc>
        <w:tc>
          <w:tcPr>
            <w:tcW w:type="dxa" w:w="102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Stored review</w:t>
            </w:r>
          </w:p>
        </w:tc>
        <w:tc>
          <w:tcPr>
            <w:tcW w:type="dxa" w:w="11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Past-only</w:t>
            </w:r>
          </w:p>
        </w:tc>
        <w:tc>
          <w:tcPr>
            <w:tcW w:type="dxa" w:w="88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73.23%</w:t>
            </w:r>
          </w:p>
        </w:tc>
        <w:tc>
          <w:tcPr>
            <w:tcW w:type="dxa" w:w="88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70.0%</w:t>
            </w:r>
          </w:p>
        </w:tc>
        <w:tc>
          <w:tcPr>
            <w:tcW w:type="dxa" w:w="102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84.0%</w:t>
            </w:r>
          </w:p>
        </w:tc>
        <w:tc>
          <w:tcPr>
            <w:tcW w:type="dxa" w:w="68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Yes</w:t>
            </w:r>
          </w:p>
        </w:tc>
        <w:tc>
          <w:tcPr>
            <w:tcW w:type="dxa" w:w="299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No identifier mismatch was found. Missing values are produced by the feature-construction rule that only uses strictly earlier mature history. For early assignments there is no mature prior history yet; resource-level sparsity is especially severe for prior_resource_open_rate.</w:t>
            </w:r>
          </w:p>
        </w:tc>
      </w:tr>
    </w:tbl>
    <w:p>
      <w:pPr>
        <w:spacing w:before="20" w:after="160"/>
      </w:pPr>
      <w:r>
        <w:rPr>
          <w:rFonts w:ascii="Arial" w:hAnsi="Arial"/>
          <w:b w:val="0"/>
          <w:i/>
          <w:color w:val="5A626F"/>
          <w:sz w:val="17"/>
        </w:rPr>
        <w:t>Feature-health table using the stored audit and review output.</w:t>
      </w:r>
    </w:p>
    <w:p/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Preprocessing pipelines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Missing values are imputed only when the stored evaluation pipeline marked the feature as retained.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Categorical features are encoded within the stored pipeline configuration; no report-time transformation modifies model outcomes.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Fully missing development-slice features are automatically excluded before fitting, as documented in the integrity review.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Chronological split and cross-validation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Development rows: 100 with 60 positives.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Holdout rows: 25 with 12 positives.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Cross-validation fold counts and mean metrics are read directly from the stored model comparison artifact.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Model configurations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rHeight w:hRule="atLeast"/>
          <w:cantSplit/>
          <w:tblHeader w:val="true"/>
        </w:trP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Model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Status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Selected hyperparameters</w:t>
            </w:r>
          </w:p>
        </w:tc>
      </w:tr>
      <w:tr>
        <w:trPr>
          <w:trHeight w:hRule="atLeast"/>
          <w:cantSplit/>
        </w:trP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Majority class rule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Success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Strategy: Majority Class Rule</w:t>
            </w:r>
          </w:p>
        </w:tc>
      </w:tr>
      <w:tr>
        <w:trPr>
          <w:trHeight w:hRule="atLeast"/>
          <w:cantSplit/>
        </w:trP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Dummy classifier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Success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Constant: n/a; Random State: n/a; Strategy: prior</w:t>
            </w:r>
          </w:p>
        </w:tc>
      </w:tr>
      <w:tr>
        <w:trPr>
          <w:trHeight w:hRule="atLeast"/>
          <w:cantSplit/>
        </w:trP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Logistic regression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Success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C: 1.0; Class Weight: n/a; Dual: No; Fit Intercept: Yes; Intercept Scaling: 1; L1 Ratio: 0.0; Max Iter: 500; N Jobs: n/a; Penalty: deprecated; Random State: 20260716; Solver: lbfgs; Tol: 0.0001; Verbo</w:t>
            </w:r>
          </w:p>
        </w:tc>
      </w:tr>
      <w:tr>
        <w:trPr>
          <w:trHeight w:hRule="atLeast"/>
          <w:cantSplit/>
        </w:trP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Logistic regression (reduced)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Success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C: 1.0; Class Weight: n/a; Dual: No; Fit Intercept: Yes; Intercept Scaling: 1; L1 Ratio: 0.0; Max Iter: 500; N Jobs: n/a; Penalty: deprecated; Random State: 20260716; Solver: lbfgs; Tol: 0.0001; Verbo</w:t>
            </w:r>
          </w:p>
        </w:tc>
      </w:tr>
      <w:tr>
        <w:trPr>
          <w:trHeight w:hRule="atLeast"/>
          <w:cantSplit/>
        </w:trP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Decision tree classifier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Success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Ccp Alpha: 0.0; Class Weight: n/a; Criterion: gini; Max Depth: 3; Max Features: n/a; Max Leaf Nodes: n/a; Min Impurity Decrease: 0.0; Min Samples Leaf: 4; Min Samples Split: 2; Min Weight Fraction Lea</w:t>
            </w:r>
          </w:p>
        </w:tc>
      </w:tr>
      <w:tr>
        <w:trPr>
          <w:trHeight w:hRule="atLeast"/>
          <w:cantSplit/>
        </w:trP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Random forest classifier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Success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Bootstrap: Yes; Ccp Alpha: 0.0; Class Weight: n/a; Criterion: gini; Max Depth: 4; Max Features: sqrt; Max Leaf Nodes: n/a; Max Samples: n/a; Min Impurity Decrease: 0.0; Min Samples Leaf: 3; Min Sample</w:t>
            </w:r>
          </w:p>
        </w:tc>
      </w:tr>
      <w:tr>
        <w:trPr>
          <w:trHeight w:hRule="atLeast"/>
          <w:cantSplit/>
        </w:trP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Histogram gradient boosting classifier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Success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Categorical Features: From Dtype; Class Weight: n/a; Early Stopping: auto; Interaction Cst: n/a; L2 Regularization: 0.0; Learning Rate: 0.08; Loss: Log Loss; Max Bins: 255; Max Depth: 3; Max Features:</w:t>
            </w:r>
          </w:p>
        </w:tc>
      </w:tr>
      <w:tr>
        <w:trPr>
          <w:trHeight w:hRule="atLeast"/>
          <w:cantSplit/>
        </w:trP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Support vector classifier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Success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C: 1.0; Break Ties: No; Cache Size: 200; Class Weight: n/a; Coef0: 0.0; Decision Function Shape: ovr; Degree: 3; Gamma: scale; Kernel: rbf; Max Iter: -1; Probability: Yes; Random State: 20260716; Shri</w:t>
            </w:r>
          </w:p>
        </w:tc>
      </w:tr>
      <w:tr>
        <w:trPr>
          <w:trHeight w:hRule="atLeast"/>
          <w:cantSplit/>
        </w:trP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K-nearest neighbors classifier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Success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Algorithm: auto; Leaf Size: 30; Metric: minkowski; Metric Params: n/a; N Jobs: n/a; N Neighbors: 5; P: 2; Weights: distance</w:t>
            </w:r>
          </w:p>
        </w:tc>
      </w:tr>
    </w:tbl>
    <w:p/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Baseline and comparison results</w:t>
      </w:r>
    </w:p>
    <w:p>
      <w:r>
        <w:drawing>
          <wp:inline xmlns:a="http://schemas.openxmlformats.org/drawingml/2006/main" xmlns:pic="http://schemas.openxmlformats.org/drawingml/2006/picture">
            <wp:extent cx="6035040" cy="36489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metrics_fa102107b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489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</w:pPr>
      <w:r>
        <w:rPr>
          <w:rFonts w:ascii="Arial" w:hAnsi="Arial"/>
          <w:b w:val="0"/>
          <w:i/>
          <w:color w:val="5A626F"/>
          <w:sz w:val="17"/>
        </w:rPr>
        <w:t>Figure 4. Model metric comparison snapshot using stored ROC AUC values.</w:t>
      </w:r>
    </w:p>
    <w:p>
      <w:r>
        <w:drawing>
          <wp:inline xmlns:a="http://schemas.openxmlformats.org/drawingml/2006/main" xmlns:pic="http://schemas.openxmlformats.org/drawingml/2006/picture">
            <wp:extent cx="6035040" cy="36489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time_fa102107b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489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</w:pPr>
      <w:r>
        <w:rPr>
          <w:rFonts w:ascii="Arial" w:hAnsi="Arial"/>
          <w:b w:val="0"/>
          <w:i/>
          <w:color w:val="5A626F"/>
          <w:sz w:val="17"/>
        </w:rPr>
        <w:t>Figure 5. Training-runtime comparison from stored model outputs.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Threshold analysis</w:t>
      </w:r>
    </w:p>
    <w:tbl>
      <w:tblPr>
        <w:tblW w:type="dxa" w:w="9647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rHeight w:hRule="atLeast"/>
          <w:cantSplit/>
          <w:tblHeader w:val="true"/>
        </w:trP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Field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Value</w:t>
            </w:r>
          </w:p>
        </w:tc>
      </w:tr>
      <w:tr>
        <w:trPr>
          <w:trHeight w:hRule="atLeast"/>
          <w:cantSplit/>
        </w:trP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Primary ROC leader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Random forest classifier</w:t>
            </w:r>
          </w:p>
        </w:tc>
      </w:tr>
      <w:tr>
        <w:trPr>
          <w:trHeight w:hRule="atLeast"/>
          <w:cantSplit/>
        </w:trP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Best thresholded classifier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Random forest classifier</w:t>
            </w:r>
          </w:p>
        </w:tc>
      </w:tr>
      <w:tr>
        <w:trPr>
          <w:trHeight w:hRule="atLeast"/>
          <w:cantSplit/>
        </w:trP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Calibration leader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Random forest classifier</w:t>
            </w:r>
          </w:p>
        </w:tc>
      </w:tr>
      <w:tr>
        <w:trPr>
          <w:trHeight w:hRule="atLeast"/>
          <w:cantSplit/>
        </w:trP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Best precision-recall ranking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Random forest classifier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3383280" cy="324642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seline_confusion_fa102107b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3246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</w:pPr>
      <w:r>
        <w:rPr>
          <w:rFonts w:ascii="Arial" w:hAnsi="Arial"/>
          <w:b w:val="0"/>
          <w:i/>
          <w:color w:val="5A626F"/>
          <w:sz w:val="17"/>
        </w:rPr>
        <w:t>Figure 6. Confusion matrix for the stored baseline.</w:t>
      </w:r>
    </w:p>
    <w:p>
      <w:r>
        <w:drawing>
          <wp:inline xmlns:a="http://schemas.openxmlformats.org/drawingml/2006/main" xmlns:pic="http://schemas.openxmlformats.org/drawingml/2006/picture">
            <wp:extent cx="3383280" cy="312697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der_confusion_fa102107b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3126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</w:pPr>
      <w:r>
        <w:rPr>
          <w:rFonts w:ascii="Arial" w:hAnsi="Arial"/>
          <w:b w:val="0"/>
          <w:i/>
          <w:color w:val="5A626F"/>
          <w:sz w:val="17"/>
        </w:rPr>
        <w:t>Figure 7. Confusion matrix for the primary ROC leader.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ROC analysis</w:t>
      </w:r>
    </w:p>
    <w:p>
      <w:r>
        <w:drawing>
          <wp:inline xmlns:a="http://schemas.openxmlformats.org/drawingml/2006/main" xmlns:pic="http://schemas.openxmlformats.org/drawingml/2006/picture">
            <wp:extent cx="5852160" cy="382457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curves_fa102107b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8245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</w:pPr>
      <w:r>
        <w:rPr>
          <w:rFonts w:ascii="Arial" w:hAnsi="Arial"/>
          <w:b w:val="0"/>
          <w:i/>
          <w:color w:val="5A626F"/>
          <w:sz w:val="17"/>
        </w:rPr>
        <w:t>Figure 9. ROC curves for score-capable stored models.</w:t>
      </w:r>
    </w:p>
    <w:p>
      <w:r>
        <w:rPr>
          <w:rFonts w:ascii="Arial" w:hAnsi="Arial"/>
          <w:b w:val="0"/>
          <w:i w:val="0"/>
          <w:color w:val="282828"/>
          <w:sz w:val="21"/>
        </w:rPr>
        <w:t>The comparison did not establish a statistically robust overall winner. Random Forest led several stored evaluation criteria, but the small holdout and single-teacher sample prevent a production-level conclusion.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Precision-recall analysis</w:t>
      </w:r>
    </w:p>
    <w:p>
      <w:r>
        <w:drawing>
          <wp:inline xmlns:a="http://schemas.openxmlformats.org/drawingml/2006/main" xmlns:pic="http://schemas.openxmlformats.org/drawingml/2006/picture">
            <wp:extent cx="5852160" cy="382457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_curves_fa102107b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8245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</w:pPr>
      <w:r>
        <w:rPr>
          <w:rFonts w:ascii="Arial" w:hAnsi="Arial"/>
          <w:b w:val="0"/>
          <w:i/>
          <w:color w:val="5A626F"/>
          <w:sz w:val="17"/>
        </w:rPr>
        <w:t>Figure 10. Precision-recall curves for the same stored holdout predictions.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Calibration analysis</w:t>
      </w:r>
    </w:p>
    <w:p>
      <w:r>
        <w:drawing>
          <wp:inline xmlns:a="http://schemas.openxmlformats.org/drawingml/2006/main" xmlns:pic="http://schemas.openxmlformats.org/drawingml/2006/picture">
            <wp:extent cx="5852160" cy="382457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ibration_curves_fa102107b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8245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</w:pPr>
      <w:r>
        <w:rPr>
          <w:rFonts w:ascii="Arial" w:hAnsi="Arial"/>
          <w:b w:val="0"/>
          <w:i/>
          <w:color w:val="5A626F"/>
          <w:sz w:val="17"/>
        </w:rPr>
        <w:t>Figure 11. Calibration curves derived from stored probabilities.</w:t>
      </w:r>
    </w:p>
    <w:p>
      <w:r>
        <w:drawing>
          <wp:inline xmlns:a="http://schemas.openxmlformats.org/drawingml/2006/main" xmlns:pic="http://schemas.openxmlformats.org/drawingml/2006/picture">
            <wp:extent cx="5852160" cy="373711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ability_distribution_fa102107b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37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</w:pPr>
      <w:r>
        <w:rPr>
          <w:rFonts w:ascii="Arial" w:hAnsi="Arial"/>
          <w:b w:val="0"/>
          <w:i/>
          <w:color w:val="5A626F"/>
          <w:sz w:val="17"/>
        </w:rPr>
        <w:t>Figure 12. Predicted-probability distributions for the stored leader, threshold leader, and baseline.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Error analysis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False positives and false negatives can be inspected only through the stored anonymized holdout predictions; no raw user identifiers are exposed.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Subgroup sample sizes are too small for strong technical claims by topic, student-history bucket, or resource type, so subgroup interpretation should remain descriptive only.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The confusion matrices show that threshold choice changes the balance between misses and false alarms more than it changes the overall conclusion.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Uncertainty and confidence intervals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Confidence intervals are read from the stored model comparison CSV.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Small holdout size and single-teacher coverage mean all uncertainty intervals should be interpreted conservatively.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Stored overall verdict: Validated - no robust winner.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Runtime and resource performance</w:t>
      </w:r>
    </w:p>
    <w:p>
      <w:r>
        <w:rPr>
          <w:rFonts w:ascii="Arial" w:hAnsi="Arial"/>
          <w:b w:val="0"/>
          <w:i w:val="0"/>
          <w:color w:val="282828"/>
          <w:sz w:val="21"/>
        </w:rPr>
        <w:t>Training and inference durations are reported directly from the validated model comparison artifact and shown in Figure 5.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Integrity-review results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The validated review concludes that this run is suitable as a technical evidence package, but not as a deployment decision.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All intended models executed successfully in the validated run.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Artifact consistency checks confirmed shared run ID and data fingerprint across stored outputs.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Conclusions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F6F8FB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F3A5F"/>
                <w:sz w:val="20"/>
              </w:rPr>
              <w:t>Interpretation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23232"/>
                <w:sz w:val="20"/>
              </w:rPr>
              <w:t>The comparison did not establish a statistically robust overall winner. Random Forest led several stored evaluation criteria, but the small holdout and single-teacher sample prevent a production-level conclusion.</w:t>
            </w:r>
          </w:p>
        </w:tc>
      </w:tr>
    </w:tbl>
    <w:p/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Reproducibility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Run ID: 866777f1db54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Dataset fingerprint: 2e2973e26148420c255bec1a2f49e6d66a73ed1a33fc40acd5734843458b10cf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Feature schema version: Assigned Resource Open 7d V1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This report was generated from stored artifacts only; it does not recompute training metrics independently.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Business implementation implications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F6F8FB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F3A5F"/>
                <w:sz w:val="20"/>
              </w:rPr>
              <w:t>Interpretation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23232"/>
                <w:sz w:val="20"/>
              </w:rPr>
              <w:t>Recommendation: maintain current production logic, expand teacher coverage, and revisit only after broader validated evidence is available.</w:t>
            </w:r>
          </w:p>
        </w:tc>
      </w:tr>
    </w:tbl>
    <w:p/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Limitations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No additional validated risks were recorded for this run.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Appendix</w:t>
      </w:r>
    </w:p>
    <w:p>
      <w:pPr>
        <w:pStyle w:val="Heading2"/>
        <w:keepNext/>
        <w:spacing w:before="120" w:after="80"/>
      </w:pPr>
      <w:r>
        <w:rPr>
          <w:rFonts w:ascii="Arial" w:hAnsi="Arial"/>
          <w:b/>
          <w:i w:val="0"/>
          <w:color w:val="1F3A5F"/>
          <w:sz w:val="26"/>
        </w:rPr>
        <w:t>Artifact manifest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rHeight w:hRule="atLeast"/>
          <w:cantSplit/>
          <w:tblHeader w:val="true"/>
        </w:trP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Artifact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Purpose</w:t>
            </w:r>
          </w:p>
        </w:tc>
        <w:tc>
          <w:tcPr>
            <w:tcW w:type="dxa" w:w="100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Format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Checksum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Availability</w:t>
            </w:r>
          </w:p>
        </w:tc>
      </w:tr>
      <w:tr>
        <w:trPr>
          <w:trHeight w:hRule="atLeast"/>
          <w:cantSplit/>
        </w:trP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Academic Report Markdown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Academic markdown baseline</w:t>
            </w:r>
          </w:p>
        </w:tc>
        <w:tc>
          <w:tcPr>
            <w:tcW w:type="dxa" w:w="100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md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6a427e739d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Yes</w:t>
            </w:r>
          </w:p>
        </w:tc>
      </w:tr>
      <w:tr>
        <w:trPr>
          <w:trHeight w:hRule="atLeast"/>
          <w:cantSplit/>
        </w:trP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Dataset Summary JSON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Dataset accounting and counts</w:t>
            </w:r>
          </w:p>
        </w:tc>
        <w:tc>
          <w:tcPr>
            <w:tcW w:type="dxa" w:w="100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json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d308129e29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Yes</w:t>
            </w:r>
          </w:p>
        </w:tc>
      </w:tr>
      <w:tr>
        <w:trPr>
          <w:trHeight w:hRule="atLeast"/>
          <w:cantSplit/>
        </w:trP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Feature Audit CSV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Feature availability audit</w:t>
            </w:r>
          </w:p>
        </w:tc>
        <w:tc>
          <w:tcPr>
            <w:tcW w:type="dxa" w:w="100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csv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63a91281e2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Yes</w:t>
            </w:r>
          </w:p>
        </w:tc>
      </w:tr>
      <w:tr>
        <w:trPr>
          <w:trHeight w:hRule="atLeast"/>
          <w:cantSplit/>
        </w:trP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Frozen Dataset CSV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Stored supporting artifact</w:t>
            </w:r>
          </w:p>
        </w:tc>
        <w:tc>
          <w:tcPr>
            <w:tcW w:type="dxa" w:w="100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csv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2e2973e261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Yes</w:t>
            </w:r>
          </w:p>
        </w:tc>
      </w:tr>
      <w:tr>
        <w:trPr>
          <w:trHeight w:hRule="atLeast"/>
          <w:cantSplit/>
        </w:trP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Holdout Predictions CSV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Stored holdout probabilities</w:t>
            </w:r>
          </w:p>
        </w:tc>
        <w:tc>
          <w:tcPr>
            <w:tcW w:type="dxa" w:w="100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csv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64b7f03690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Yes</w:t>
            </w:r>
          </w:p>
        </w:tc>
      </w:tr>
      <w:tr>
        <w:trPr>
          <w:trHeight w:hRule="atLeast"/>
          <w:cantSplit/>
        </w:trP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Integrity Review Markdown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Stored supporting artifact</w:t>
            </w:r>
          </w:p>
        </w:tc>
        <w:tc>
          <w:tcPr>
            <w:tcW w:type="dxa" w:w="100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md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40d44b82ed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Yes</w:t>
            </w:r>
          </w:p>
        </w:tc>
      </w:tr>
      <w:tr>
        <w:trPr>
          <w:trHeight w:hRule="atLeast"/>
          <w:cantSplit/>
        </w:trP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Label Audit CSV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Stored supporting artifact</w:t>
            </w:r>
          </w:p>
        </w:tc>
        <w:tc>
          <w:tcPr>
            <w:tcW w:type="dxa" w:w="100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csv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e48fe47dbe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Yes</w:t>
            </w:r>
          </w:p>
        </w:tc>
      </w:tr>
      <w:tr>
        <w:trPr>
          <w:trHeight w:hRule="atLeast"/>
          <w:cantSplit/>
        </w:trP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Label Reconciliation CSV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Label reconciliation review</w:t>
            </w:r>
          </w:p>
        </w:tc>
        <w:tc>
          <w:tcPr>
            <w:tcW w:type="dxa" w:w="100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csv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26a345407d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Yes</w:t>
            </w:r>
          </w:p>
        </w:tc>
      </w:tr>
      <w:tr>
        <w:trPr>
          <w:trHeight w:hRule="atLeast"/>
          <w:cantSplit/>
        </w:trP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Model Comparison CSV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Stored model metrics</w:t>
            </w:r>
          </w:p>
        </w:tc>
        <w:tc>
          <w:tcPr>
            <w:tcW w:type="dxa" w:w="100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csv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00ca70f48d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Yes</w:t>
            </w:r>
          </w:p>
        </w:tc>
      </w:tr>
      <w:tr>
        <w:trPr>
          <w:trHeight w:hRule="atLeast"/>
          <w:cantSplit/>
        </w:trP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Run Summary JSON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Validated run summary</w:t>
            </w:r>
          </w:p>
        </w:tc>
        <w:tc>
          <w:tcPr>
            <w:tcW w:type="dxa" w:w="100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json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e6b8dfd559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Yes</w:t>
            </w:r>
          </w:p>
        </w:tc>
      </w:tr>
      <w:tr>
        <w:trPr>
          <w:trHeight w:hRule="atLeast"/>
          <w:cantSplit/>
        </w:trP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Technical Report Markdown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Technical markdown baseline</w:t>
            </w:r>
          </w:p>
        </w:tc>
        <w:tc>
          <w:tcPr>
            <w:tcW w:type="dxa" w:w="100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md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3d0ad6dcea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Yes</w:t>
            </w:r>
          </w:p>
        </w:tc>
      </w:tr>
    </w:tbl>
    <w:p>
      <w:pPr>
        <w:spacing w:before="20" w:after="160"/>
      </w:pPr>
      <w:r>
        <w:rPr>
          <w:rFonts w:ascii="Arial" w:hAnsi="Arial"/>
          <w:b w:val="0"/>
          <w:i/>
          <w:color w:val="5A626F"/>
          <w:sz w:val="17"/>
        </w:rPr>
        <w:t>Artifact manifest summarizing the technical evidence package without exposing repository paths.</w:t>
      </w:r>
    </w:p>
    <w:p/>
    <w:p>
      <w:r>
        <w:rPr>
          <w:rFonts w:ascii="Arial" w:hAnsi="Arial"/>
          <w:b w:val="0"/>
          <w:i w:val="0"/>
          <w:color w:val="5A626F"/>
          <w:sz w:val="21"/>
        </w:rPr>
        <w:t>Stored filename: assigned_resource_open_7d_academic_report.md</w:t>
      </w:r>
    </w:p>
    <w:p>
      <w:r>
        <w:rPr>
          <w:rFonts w:ascii="Arial" w:hAnsi="Arial"/>
          <w:b w:val="0"/>
          <w:i w:val="0"/>
          <w:color w:val="5A626F"/>
          <w:sz w:val="21"/>
        </w:rPr>
        <w:t>Stored filename: assigned_resource_open_7d_dataset_summary.json</w:t>
      </w:r>
    </w:p>
    <w:p>
      <w:r>
        <w:rPr>
          <w:rFonts w:ascii="Arial" w:hAnsi="Arial"/>
          <w:b w:val="0"/>
          <w:i w:val="0"/>
          <w:color w:val="5A626F"/>
          <w:sz w:val="21"/>
        </w:rPr>
        <w:t>Stored filename: assigned_resource_open_7d_feature_audit.csv</w:t>
      </w:r>
    </w:p>
    <w:p>
      <w:r>
        <w:rPr>
          <w:rFonts w:ascii="Arial" w:hAnsi="Arial"/>
          <w:b w:val="0"/>
          <w:i w:val="0"/>
          <w:color w:val="5A626F"/>
          <w:sz w:val="21"/>
        </w:rPr>
        <w:t>Stored filename: assigned_resource_open_7d_dataset_frozen.csv</w:t>
      </w:r>
    </w:p>
    <w:p>
      <w:r>
        <w:rPr>
          <w:rFonts w:ascii="Arial" w:hAnsi="Arial"/>
          <w:b w:val="0"/>
          <w:i w:val="0"/>
          <w:color w:val="5A626F"/>
          <w:sz w:val="21"/>
        </w:rPr>
        <w:t>Stored filename: assigned_resource_open_7d_holdout_predictions.csv</w:t>
      </w:r>
    </w:p>
    <w:p>
      <w:r>
        <w:rPr>
          <w:rFonts w:ascii="Arial" w:hAnsi="Arial"/>
          <w:b w:val="0"/>
          <w:i w:val="0"/>
          <w:color w:val="5A626F"/>
          <w:sz w:val="21"/>
        </w:rPr>
        <w:t>Stored filename: assigned_resource_open_7d_integrity_review.md</w:t>
      </w:r>
    </w:p>
    <w:p>
      <w:r>
        <w:rPr>
          <w:rFonts w:ascii="Arial" w:hAnsi="Arial"/>
          <w:b w:val="0"/>
          <w:i w:val="0"/>
          <w:color w:val="5A626F"/>
          <w:sz w:val="21"/>
        </w:rPr>
        <w:t>Stored filename: assigned_resource_open_7d_label_audit.csv</w:t>
      </w:r>
    </w:p>
    <w:p>
      <w:r>
        <w:rPr>
          <w:rFonts w:ascii="Arial" w:hAnsi="Arial"/>
          <w:b w:val="0"/>
          <w:i w:val="0"/>
          <w:color w:val="5A626F"/>
          <w:sz w:val="21"/>
        </w:rPr>
        <w:t>Stored filename: assigned_resource_open_7d_label_reconciliation.csv</w:t>
      </w:r>
    </w:p>
    <w:p>
      <w:r>
        <w:rPr>
          <w:rFonts w:ascii="Arial" w:hAnsi="Arial"/>
          <w:b w:val="0"/>
          <w:i w:val="0"/>
          <w:color w:val="5A626F"/>
          <w:sz w:val="21"/>
        </w:rPr>
        <w:t>Stored filename: assigned_resource_open_7d_model_comparison.csv</w:t>
      </w:r>
    </w:p>
    <w:p>
      <w:r>
        <w:rPr>
          <w:rFonts w:ascii="Arial" w:hAnsi="Arial"/>
          <w:b w:val="0"/>
          <w:i w:val="0"/>
          <w:color w:val="5A626F"/>
          <w:sz w:val="21"/>
        </w:rPr>
        <w:t>Stored filename: assigned_resource_open_7d_run_summary.json</w:t>
      </w:r>
    </w:p>
    <w:p>
      <w:r>
        <w:rPr>
          <w:rFonts w:ascii="Arial" w:hAnsi="Arial"/>
          <w:b w:val="0"/>
          <w:i w:val="0"/>
          <w:color w:val="5A626F"/>
          <w:sz w:val="21"/>
        </w:rPr>
        <w:t>Stored filename: assigned_resource_open_7d_technical_report.md</w:t>
      </w:r>
    </w:p>
    <w:p>
      <w:pPr>
        <w:sectPr>
          <w:headerReference w:type="default" r:id="rId9"/>
          <w:footerReference w:type="default" r:id="rId10"/>
          <w:pgSz w:w="12240" w:h="15840"/>
          <w:pgMar w:top="1152" w:right="1152" w:bottom="1080" w:left="1152" w:header="504" w:footer="504" w:gutter="0"/>
          <w:cols w:space="720"/>
          <w:docGrid w:linePitch="360"/>
        </w:sectPr>
      </w:pPr>
    </w:p>
    <w:p>
      <w:pPr>
        <w:pStyle w:val="Heading2"/>
        <w:keepNext/>
        <w:spacing w:before="120" w:after="80"/>
      </w:pPr>
      <w:r>
        <w:rPr>
          <w:rFonts w:ascii="Arial" w:hAnsi="Arial"/>
          <w:b/>
          <w:i w:val="0"/>
          <w:color w:val="1F3A5F"/>
          <w:sz w:val="26"/>
        </w:rPr>
        <w:t>Full model comparison</w:t>
      </w:r>
    </w:p>
    <w:p>
      <w:pPr>
        <w:pStyle w:val="Heading3"/>
        <w:keepNext/>
        <w:spacing w:before="120" w:after="80"/>
      </w:pPr>
      <w:r>
        <w:rPr>
          <w:rFonts w:ascii="Arial" w:hAnsi="Arial"/>
          <w:b/>
          <w:i w:val="0"/>
          <w:color w:val="17807E"/>
          <w:sz w:val="23"/>
        </w:rPr>
        <w:t>Discrimination and ranking</w:t>
      </w:r>
    </w:p>
    <w:tbl>
      <w:tblPr>
        <w:tblW w:type="dxa" w:w="11952"/>
        <w:jc w:val="left"/>
        <w:tblLayout w:type="fixed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  <w:gridCol w:w="2280"/>
        <w:gridCol w:w="2280"/>
      </w:tblGrid>
      <w:tr>
        <w:trPr>
          <w:trHeight w:hRule="atLeast"/>
          <w:cantSplit/>
          <w:tblHeader w:val="true"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Model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ROC AUC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Average precision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Balanced accuracy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F1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Delta vs dummy ROC AUC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Majority class rule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0.710277202668507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0.6486486486486487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—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Dummy classifier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0.710277202668507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0.6486486486486487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—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Logistic regression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0.5256410256410257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0.4761996037731331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0.391025641025641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0.2105263157894737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0.0256410256410256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Logistic regression (reduced)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0.6794871794871795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0.6472102584234938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0.5448717948717949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0.2666666666666666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0.1794871794871795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Decision tree classifier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0.5961538461538461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0.5540564691299985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0.5160256410256411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0.4545454545454545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0.0961538461538461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Random forest classifier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0.8269230769230769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0.8764753764753763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0.7628205128205128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0.7692307692307692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0.3269230769230768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Histogram gradient boosting classifier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0.6410256410256411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0.5643025754438799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0.7243589743589745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0.7407407407407408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0.141025641025641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Support vector classifier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0.6410256410256411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0.7619506791517662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0.6025641025641025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0.6153846153846153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0.141025641025641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K-nearest neighbors classifier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0.6538461538461539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0.7439451142775951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0.5256410256410257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0.5714285714285715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0.1538461538461538</w:t>
            </w:r>
          </w:p>
        </w:tc>
      </w:tr>
    </w:tbl>
    <w:p>
      <w:pPr>
        <w:spacing w:before="20" w:after="160"/>
      </w:pPr>
      <w:r>
        <w:rPr>
          <w:rFonts w:ascii="Arial" w:hAnsi="Arial"/>
          <w:b w:val="0"/>
          <w:i/>
          <w:color w:val="5A626F"/>
          <w:sz w:val="17"/>
        </w:rPr>
        <w:t>Readable comparison of stored supervised models using the validated run artifacts.</w:t>
      </w:r>
    </w:p>
    <w:p/>
    <w:p>
      <w:pPr>
        <w:pStyle w:val="Heading3"/>
        <w:keepNext/>
        <w:spacing w:before="120" w:after="80"/>
      </w:pPr>
      <w:r>
        <w:rPr>
          <w:rFonts w:ascii="Arial" w:hAnsi="Arial"/>
          <w:b/>
          <w:i w:val="0"/>
          <w:color w:val="17807E"/>
          <w:sz w:val="23"/>
        </w:rPr>
        <w:t>Calibration and thresholding</w:t>
      </w:r>
    </w:p>
    <w:tbl>
      <w:tblPr>
        <w:tblW w:type="dxa" w:w="12096"/>
        <w:jc w:val="left"/>
        <w:tblLayout w:type="fixed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  <w:gridCol w:w="2280"/>
        <w:gridCol w:w="2280"/>
      </w:tblGrid>
      <w:tr>
        <w:trPr>
          <w:trHeight w:hRule="atLeast"/>
          <w:cantSplit/>
          <w:tblHeader w:val="true"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Model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Log loss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Brier score</w:t>
            </w:r>
          </w:p>
        </w:tc>
        <w:tc>
          <w:tcPr>
            <w:tcW w:type="dxa" w:w="201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Predicted positive rate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Best F1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Best balanced accuracy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Majority class rule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0.7216674799822362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0.264</w:t>
            </w:r>
          </w:p>
        </w:tc>
        <w:tc>
          <w:tcPr>
            <w:tcW w:type="dxa" w:w="201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1.0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0.6486486486486487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Dummy classifier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0.7216674799822362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0.264</w:t>
            </w:r>
          </w:p>
        </w:tc>
        <w:tc>
          <w:tcPr>
            <w:tcW w:type="dxa" w:w="201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1.0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0.6486486486486487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Logistic regression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1.052748427570208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0.3781862659271294</w:t>
            </w:r>
          </w:p>
        </w:tc>
        <w:tc>
          <w:tcPr>
            <w:tcW w:type="dxa" w:w="201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0.28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0.7333333333333334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0.6891025641025641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Logistic regression (reduced)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0.843024899127276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0.29861011367227</w:t>
            </w:r>
          </w:p>
        </w:tc>
        <w:tc>
          <w:tcPr>
            <w:tcW w:type="dxa" w:w="201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0.12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0.8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0.7692307692307692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Decision tree classifier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0.9378484235533544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0.3374162841607231</w:t>
            </w:r>
          </w:p>
        </w:tc>
        <w:tc>
          <w:tcPr>
            <w:tcW w:type="dxa" w:w="201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0.4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0.6486486486486487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0.7083333333333334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Random forest classifier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0.604947669170616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0.2077426380857454</w:t>
            </w:r>
          </w:p>
        </w:tc>
        <w:tc>
          <w:tcPr>
            <w:tcW w:type="dxa" w:w="201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0.56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0.6956521739130435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0.717948717948718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Histogram gradient boosting classifier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0.687396449712456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0.2429245021301746</w:t>
            </w:r>
          </w:p>
        </w:tc>
        <w:tc>
          <w:tcPr>
            <w:tcW w:type="dxa" w:w="201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0.6874999999999999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0.6121794871794872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Support vector classifier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0.6900437279937052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0.2471304247730718</w:t>
            </w:r>
          </w:p>
        </w:tc>
        <w:tc>
          <w:tcPr>
            <w:tcW w:type="dxa" w:w="201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0.56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0.6666666666666666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0.75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K-nearest neighbors classifier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0.6395257728302817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0.2393081031335839</w:t>
            </w:r>
          </w:p>
        </w:tc>
        <w:tc>
          <w:tcPr>
            <w:tcW w:type="dxa" w:w="201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0.64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0.6857142857142856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0.7083333333333334</w:t>
            </w:r>
          </w:p>
        </w:tc>
      </w:tr>
    </w:tbl>
    <w:p>
      <w:pPr>
        <w:spacing w:before="20" w:after="160"/>
      </w:pPr>
      <w:r>
        <w:rPr>
          <w:rFonts w:ascii="Arial" w:hAnsi="Arial"/>
          <w:b w:val="0"/>
          <w:i/>
          <w:color w:val="5A626F"/>
          <w:sz w:val="17"/>
        </w:rPr>
        <w:t>Readable comparison of stored supervised models using the validated run artifacts.</w:t>
      </w:r>
    </w:p>
    <w:p/>
    <w:p>
      <w:pPr>
        <w:pStyle w:val="Heading3"/>
        <w:keepNext/>
        <w:spacing w:before="120" w:after="80"/>
      </w:pPr>
      <w:r>
        <w:rPr>
          <w:rFonts w:ascii="Arial" w:hAnsi="Arial"/>
          <w:b/>
          <w:i w:val="0"/>
          <w:color w:val="17807E"/>
          <w:sz w:val="23"/>
        </w:rPr>
        <w:t>Runtime and status</w:t>
      </w:r>
    </w:p>
    <w:tbl>
      <w:tblPr>
        <w:tblW w:type="dxa" w:w="13420"/>
        <w:jc w:val="left"/>
        <w:tblLayout w:type="fixed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  <w:gridCol w:w="2280"/>
        <w:gridCol w:w="2280"/>
      </w:tblGrid>
      <w:tr>
        <w:trPr>
          <w:trHeight w:hRule="atLeast"/>
          <w:cantSplit/>
          <w:tblHeader w:val="true"/>
        </w:trPr>
        <w:tc>
          <w:tcPr>
            <w:tcW w:type="dxa" w:w="299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Model</w:t>
            </w:r>
          </w:p>
        </w:tc>
        <w:tc>
          <w:tcPr>
            <w:tcW w:type="dxa" w:w="171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Status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CV primary metric mean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CV primary metric variance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Train duration (s)</w:t>
            </w:r>
          </w:p>
        </w:tc>
        <w:tc>
          <w:tcPr>
            <w:tcW w:type="dxa" w:w="22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Inference duration (s)</w:t>
            </w:r>
          </w:p>
        </w:tc>
      </w:tr>
      <w:tr>
        <w:trPr>
          <w:trHeight w:hRule="atLeast"/>
          <w:cantSplit/>
        </w:trPr>
        <w:tc>
          <w:tcPr>
            <w:tcW w:type="dxa" w:w="299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Majority class rule</w:t>
            </w:r>
          </w:p>
        </w:tc>
        <w:tc>
          <w:tcPr>
            <w:tcW w:type="dxa" w:w="171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Success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—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—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—</w:t>
            </w:r>
          </w:p>
        </w:tc>
        <w:tc>
          <w:tcPr>
            <w:tcW w:type="dxa" w:w="22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—</w:t>
            </w:r>
          </w:p>
        </w:tc>
      </w:tr>
      <w:tr>
        <w:trPr>
          <w:trHeight w:hRule="atLeast"/>
          <w:cantSplit/>
        </w:trPr>
        <w:tc>
          <w:tcPr>
            <w:tcW w:type="dxa" w:w="299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Dummy classifier</w:t>
            </w:r>
          </w:p>
        </w:tc>
        <w:tc>
          <w:tcPr>
            <w:tcW w:type="dxa" w:w="171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Success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—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0.003332375024911</w:t>
            </w:r>
          </w:p>
        </w:tc>
        <w:tc>
          <w:tcPr>
            <w:tcW w:type="dxa" w:w="22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0.0017700829776003</w:t>
            </w:r>
          </w:p>
        </w:tc>
      </w:tr>
      <w:tr>
        <w:trPr>
          <w:trHeight w:hRule="atLeast"/>
          <w:cantSplit/>
        </w:trPr>
        <w:tc>
          <w:tcPr>
            <w:tcW w:type="dxa" w:w="299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Logistic regression</w:t>
            </w:r>
          </w:p>
        </w:tc>
        <w:tc>
          <w:tcPr>
            <w:tcW w:type="dxa" w:w="171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Success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0.5574314574314574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0.0157121826385895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0.0050511250155977</w:t>
            </w:r>
          </w:p>
        </w:tc>
        <w:tc>
          <w:tcPr>
            <w:tcW w:type="dxa" w:w="22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0.0019493330037221</w:t>
            </w:r>
          </w:p>
        </w:tc>
      </w:tr>
      <w:tr>
        <w:trPr>
          <w:trHeight w:hRule="atLeast"/>
          <w:cantSplit/>
        </w:trPr>
        <w:tc>
          <w:tcPr>
            <w:tcW w:type="dxa" w:w="299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Logistic regression (reduced)</w:t>
            </w:r>
          </w:p>
        </w:tc>
        <w:tc>
          <w:tcPr>
            <w:tcW w:type="dxa" w:w="171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Success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0.5773160173160173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0.0178323278132801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0.0035093749756924</w:t>
            </w:r>
          </w:p>
        </w:tc>
        <w:tc>
          <w:tcPr>
            <w:tcW w:type="dxa" w:w="22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0.0013493750011548</w:t>
            </w:r>
          </w:p>
        </w:tc>
      </w:tr>
      <w:tr>
        <w:trPr>
          <w:trHeight w:hRule="atLeast"/>
          <w:cantSplit/>
        </w:trPr>
        <w:tc>
          <w:tcPr>
            <w:tcW w:type="dxa" w:w="299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Decision tree classifier</w:t>
            </w:r>
          </w:p>
        </w:tc>
        <w:tc>
          <w:tcPr>
            <w:tcW w:type="dxa" w:w="171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Success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0.4927272727272728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0.0002115702479338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0.003642541996669</w:t>
            </w:r>
          </w:p>
        </w:tc>
        <w:tc>
          <w:tcPr>
            <w:tcW w:type="dxa" w:w="22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0.0017192079685628</w:t>
            </w:r>
          </w:p>
        </w:tc>
      </w:tr>
      <w:tr>
        <w:trPr>
          <w:trHeight w:hRule="atLeast"/>
          <w:cantSplit/>
        </w:trPr>
        <w:tc>
          <w:tcPr>
            <w:tcW w:type="dxa" w:w="299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Random forest classifier</w:t>
            </w:r>
          </w:p>
        </w:tc>
        <w:tc>
          <w:tcPr>
            <w:tcW w:type="dxa" w:w="171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Success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0.5679942279942279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0.0265621242313882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0.0307852910482324</w:t>
            </w:r>
          </w:p>
        </w:tc>
        <w:tc>
          <w:tcPr>
            <w:tcW w:type="dxa" w:w="22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0.003685834002681</w:t>
            </w:r>
          </w:p>
        </w:tc>
      </w:tr>
      <w:tr>
        <w:trPr>
          <w:trHeight w:hRule="atLeast"/>
          <w:cantSplit/>
        </w:trPr>
        <w:tc>
          <w:tcPr>
            <w:tcW w:type="dxa" w:w="299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Histogram gradient boosting classifier</w:t>
            </w:r>
          </w:p>
        </w:tc>
        <w:tc>
          <w:tcPr>
            <w:tcW w:type="dxa" w:w="171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Success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0.4985858585858586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0.0102559330680542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0.0608708329964429</w:t>
            </w:r>
          </w:p>
        </w:tc>
        <w:tc>
          <w:tcPr>
            <w:tcW w:type="dxa" w:w="22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0.0048342499649152</w:t>
            </w:r>
          </w:p>
        </w:tc>
      </w:tr>
      <w:tr>
        <w:trPr>
          <w:trHeight w:hRule="atLeast"/>
          <w:cantSplit/>
        </w:trPr>
        <w:tc>
          <w:tcPr>
            <w:tcW w:type="dxa" w:w="299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Support vector classifier</w:t>
            </w:r>
          </w:p>
        </w:tc>
        <w:tc>
          <w:tcPr>
            <w:tcW w:type="dxa" w:w="171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Success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0.5438095238095239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0.0167736619961728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0.0054252080153673</w:t>
            </w:r>
          </w:p>
        </w:tc>
        <w:tc>
          <w:tcPr>
            <w:tcW w:type="dxa" w:w="22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0.0019129589782096</w:t>
            </w:r>
          </w:p>
        </w:tc>
      </w:tr>
      <w:tr>
        <w:trPr>
          <w:trHeight w:hRule="atLeast"/>
          <w:cantSplit/>
        </w:trPr>
        <w:tc>
          <w:tcPr>
            <w:tcW w:type="dxa" w:w="299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K-nearest neighbors classifier</w:t>
            </w:r>
          </w:p>
        </w:tc>
        <w:tc>
          <w:tcPr>
            <w:tcW w:type="dxa" w:w="171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Success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0.5688600288600287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0.0078327900734827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0.004272749996744</w:t>
            </w:r>
          </w:p>
        </w:tc>
        <w:tc>
          <w:tcPr>
            <w:tcW w:type="dxa" w:w="22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0.0022052080021239</w:t>
            </w:r>
          </w:p>
        </w:tc>
      </w:tr>
    </w:tbl>
    <w:p>
      <w:pPr>
        <w:spacing w:before="20" w:after="160"/>
      </w:pPr>
      <w:r>
        <w:rPr>
          <w:rFonts w:ascii="Arial" w:hAnsi="Arial"/>
          <w:b w:val="0"/>
          <w:i/>
          <w:color w:val="5A626F"/>
          <w:sz w:val="17"/>
        </w:rPr>
        <w:t>Readable comparison of stored supervised models using the validated run artifacts.</w:t>
      </w:r>
    </w:p>
    <w:p/>
    <w:sectPr w:rsidR="00FC693F" w:rsidRPr="0006063C" w:rsidSect="00034616">
      <w:headerReference w:type="default" r:id="rId22"/>
      <w:footerReference w:type="default" r:id="rId23"/>
      <w:pgSz w:w="15840" w:h="12240" w:orient="landscape"/>
      <w:pgMar w:top="936" w:right="1080" w:bottom="936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/>
        <w:b w:val="0"/>
        <w:i w:val="0"/>
        <w:color w:val="5A626F"/>
        <w:sz w:val="16"/>
      </w:rPr>
      <w:t xml:space="preserve">Validated internal report · </w:t>
    </w:r>
    <w: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/>
        <w:b w:val="0"/>
        <w:i w:val="0"/>
        <w:color w:val="5A626F"/>
        <w:sz w:val="16"/>
      </w:rPr>
      <w:t xml:space="preserve">Validated internal report ·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Arial" w:hAnsi="Arial"/>
        <w:b w:val="0"/>
        <w:i w:val="0"/>
        <w:color w:val="5A626F"/>
        <w:sz w:val="17"/>
      </w:rPr>
      <w:t>Classio · Technical Data Science Report · 866777f1db54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Arial" w:hAnsi="Arial"/>
        <w:b w:val="0"/>
        <w:i w:val="0"/>
        <w:color w:val="5A626F"/>
        <w:sz w:val="17"/>
      </w:rPr>
      <w:t>Classio · Technical Data Science Report · 866777f1db54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before="0" w:line="276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17807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3A5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Theme="majorHAnsi" w:eastAsiaTheme="majorEastAsia" w:hAnsiTheme="majorHAnsi" w:cstheme="majorBidi" w:ascii="Arial" w:hAnsi="Arial"/>
      <w:b/>
      <w:i/>
      <w:iCs/>
      <w:color w:val="5A626F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header" Target="header2.xml"/><Relationship Id="rId23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