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Cuboctahedron Uniqueness and Infinite Regress</w:t>
      </w:r>
    </w:p>
    <w:p>
      <w:pPr>
        <w:pStyle w:val="Subtitle"/>
      </w:pPr>
      <w:r>
        <w:t>A conditional mathematical demonstration and its limits</w:t>
      </w:r>
    </w:p>
    <w:p>
      <w:pPr>
        <w:spacing w:after="60"/>
      </w:pPr>
      <w:r>
        <w:rPr>
          <w:color w:val="555555"/>
          <w:sz w:val="19"/>
        </w:rPr>
        <w:t>ChatGPT in discussion with Thor Fabian Pettersen</w:t>
      </w:r>
    </w:p>
    <w:p>
      <w:pPr>
        <w:spacing w:after="260"/>
      </w:pPr>
      <w:r>
        <w:rPr>
          <w:color w:val="555555"/>
          <w:sz w:val="19"/>
        </w:rPr>
        <w:t>15 September 2026</w:t>
      </w:r>
    </w:p>
    <w:p>
      <w:r>
        <w:rPr>
          <w:b/>
        </w:rPr>
        <w:t>I can demonstrate a restricted uniqueness result for the cuboctahedron. I cannot honestly extend it to the claim that the dual torus is the only coherent form of reality.</w:t>
      </w:r>
      <w:r>
        <w:t xml:space="preserve"> This attempt does, however, identify a precise mathematical route toward your geometry and where that route still requires justification.</w:t>
      </w:r>
    </w:p>
    <w:p>
      <w:r>
        <w:t>For this attempt, I granted your starting commitments: existence is necessary, vicious foundational regress is impossible, and “balance” means complete explanatory closure. I also treated your geometry as a representation of the nonspatial foundation.</w:t>
      </w:r>
    </w:p>
    <w:p>
      <w:pPr>
        <w:keepNext/>
      </w:pPr>
      <w:r>
        <w:t>The technical argument starts by distinguishing two statements:</w:t>
      </w:r>
    </w:p>
    <w:p>
      <w:pPr>
        <w:keepLines/>
        <w:spacing w:before="80" w:after="180"/>
        <w:jc w:val="center"/>
      </w:pPr>
      <m:oMathPara>
        <m:oMathParaPr>
          <m:jc m:val="center"/>
        </m:oMathParaPr>
        <m:oMath>
          <m:r>
            <m:rPr>
              <m:nor/>
              <m:sty m:val="p"/>
            </m:rPr>
            <m:t>Complete explanatory closure</m:t>
          </m:r>
          <m:r>
            <m:t> </m:t>
          </m:r>
          <m:r>
            <m:rPr>
              <m:sty m:val="p"/>
            </m:rPr>
            <m:t>⇒</m:t>
          </m:r>
          <m:r>
            <m:t> </m:t>
          </m:r>
          <m:r>
            <m:rPr>
              <m:nor/>
              <m:sty m:val="p"/>
            </m:rPr>
            <m:t>Your specific structure</m:t>
          </m:r>
          <m:r>
            <m:rPr>
              <m:sty m:val="p"/>
            </m:rPr>
            <m:t>.</m:t>
          </m:r>
        </m:oMath>
      </m:oMathPara>
    </w:p>
    <w:p>
      <w:r>
        <w:t>That is your claim. To demonstrate it through geometry, we need mathematical conditions that follow from explanatory closure and uniquely determine that structure.</w:t>
      </w:r>
    </w:p>
    <w:p>
      <w:r>
        <w:t>I investigated a particularly strong candidate: a collection of equal vectors whose reflection operations preserve the entire collection.</w:t>
      </w:r>
    </w:p>
    <w:p>
      <w:pPr>
        <w:keepNext/>
      </w:pPr>
      <w:r>
        <w:t xml:space="preserve">Suppose a finite collection </w:t>
      </w:r>
      <m:oMath>
        <m:r>
          <m:t>R</m:t>
        </m:r>
      </m:oMath>
      <w:r>
        <w:t xml:space="preserve"> of nonzero vectors satisfies these requirements:</w:t>
      </w:r>
    </w:p>
    <w:p>
      <w:pPr>
        <w:ind w:left="259" w:hanging="259"/>
      </w:pPr>
      <w:r>
        <w:t>1. It spans three-dimensional Euclidean space, and every vector has equal length.</w:t>
      </w:r>
    </w:p>
    <w:p>
      <w:pPr>
        <w:ind w:left="259" w:hanging="259"/>
      </w:pPr>
      <w:r>
        <w:t>2. Reflecting the collection across the plane perpendicular to any member preserves the collection.</w:t>
      </w:r>
    </w:p>
    <w:p>
      <w:pPr>
        <w:ind w:left="259" w:hanging="259"/>
      </w:pPr>
      <w:r>
        <w:t>3. It cannot split into two mutually perpendicular, independent collections.</w:t>
      </w:r>
    </w:p>
    <w:p>
      <w:pPr>
        <w:keepNext/>
        <w:ind w:left="259" w:hanging="259"/>
      </w:pPr>
      <w:r>
        <w:t>4. Its reflection coefficients satisfy the integer condition</w:t>
      </w:r>
    </w:p>
    <w:p>
      <w:pPr>
        <w:keepLines/>
        <w:spacing w:before="80" w:after="180"/>
        <w:jc w:val="center"/>
      </w:pPr>
      <m:oMathPara>
        <m:oMathParaPr>
          <m:jc m:val="center"/>
        </m:oMathParaPr>
        <m:oMath>
          <m:f>
            <m:fPr>
              <m:type m:val="bar"/>
            </m:fPr>
            <m:num>
              <m:r>
                <m:t>2</m:t>
              </m:r>
              <m:r>
                <m:t> </m:t>
              </m:r>
              <m:r>
                <m:t>u</m:t>
              </m:r>
              <m:r>
                <m:rPr>
                  <m:sty m:val="p"/>
                </m:rPr>
                <m:t>⋅</m:t>
              </m:r>
              <m:r>
                <m:t>v</m:t>
              </m:r>
            </m:num>
            <m:den>
              <m:r>
                <m:t>v</m:t>
              </m:r>
              <m:r>
                <m:rPr>
                  <m:sty m:val="p"/>
                </m:rPr>
                <m:t>⋅</m:t>
              </m:r>
              <m:r>
                <m:t>v</m:t>
              </m:r>
            </m:den>
          </m:f>
          <m:r>
            <m:rPr>
              <m:sty m:val="p"/>
            </m:rPr>
            <m:t>∈</m:t>
          </m:r>
          <m:r>
            <m:rPr>
              <m:sty m:val="p"/>
              <m:scr m:val="double-struck"/>
            </m:rPr>
            <m:t>Z</m:t>
          </m:r>
          <m:r>
            <m:t>  </m:t>
          </m:r>
          <m:r>
            <m:t>(</m:t>
          </m:r>
          <m:r>
            <m:t>u</m:t>
          </m:r>
          <m:r>
            <m:rPr>
              <m:sty m:val="p"/>
            </m:rPr>
            <m:t>,</m:t>
          </m:r>
          <m:r>
            <m:t>v</m:t>
          </m:r>
          <m:r>
            <m:rPr>
              <m:sty m:val="p"/>
            </m:rPr>
            <m:t>∈</m:t>
          </m:r>
          <m:r>
            <m:t>R</m:t>
          </m:r>
          <m:r>
            <m:t>)</m:t>
          </m:r>
          <m:r>
            <m:rPr>
              <m:sty m:val="p"/>
            </m:rPr>
            <m:t>.</m:t>
          </m:r>
        </m:oMath>
      </m:oMathPara>
    </w:p>
    <w:p>
      <w:r>
        <w:rPr>
          <w:b/>
        </w:rPr>
        <w:t>Under these assumptions, the collection must form a cuboctahedron, up to orientation and scale.</w:t>
      </w:r>
    </w:p>
    <w:p>
      <w:pPr>
        <w:pStyle w:val="Heading1"/>
        <w:pageBreakBefore/>
      </w:pPr>
      <w:r>
        <w:t>The proof and its limits</w:t>
      </w:r>
    </w:p>
    <w:p>
      <w:r>
        <w:t>Here is the short proof. Standard root-system theory supplies three independent generating vectors, called simple roots. Normalize their squared lengths to 2. Their pairwise inner products must be 0 or -1. Connect two generators when their inner product is -1. Independence of the whole collection from any orthogonal decomposition requires this graph to be connected.</w:t>
      </w:r>
    </w:p>
    <w:p>
      <w:pPr>
        <w:keepNext/>
      </w:pPr>
      <w:r>
        <w:t>Three connected vertices form either a path or a triangle. The triangle would give</w:t>
      </w:r>
    </w:p>
    <w:p>
      <w:pPr>
        <w:keepLines/>
        <w:spacing w:before="80" w:after="180"/>
        <w:jc w:val="center"/>
      </w:pPr>
      <m:oMathPara>
        <m:oMathParaPr>
          <m:jc m:val="center"/>
        </m:oMathParaPr>
        <m:oMath>
          <m:sSub>
            <m:e>
              <m:r>
                <m:t>G</m:t>
              </m:r>
            </m:e>
            <m:sub>
              <m:r>
                <m:rPr>
                  <m:sty m:val="p"/>
                </m:rPr>
                <m:t>△</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e>
                  <m:e>
                    <m:r>
                      <m:rPr>
                        <m:sty m:val="p"/>
                      </m:rPr>
                      <m:t>−</m:t>
                    </m:r>
                    <m:r>
                      <m:t>1</m:t>
                    </m:r>
                  </m:e>
                  <m:e>
                    <m:r>
                      <m:rPr>
                        <m:sty m:val="p"/>
                      </m:rPr>
                      <m:t>−</m:t>
                    </m:r>
                    <m:r>
                      <m:t>1</m:t>
                    </m:r>
                  </m:e>
                </m:mr>
                <m:mr>
                  <m:e>
                    <m:r>
                      <m:rPr>
                        <m:sty m:val="p"/>
                      </m:rPr>
                      <m:t>−</m:t>
                    </m:r>
                    <m:r>
                      <m:t>1</m:t>
                    </m:r>
                  </m:e>
                  <m:e>
                    <m:r>
                      <m:t>2</m:t>
                    </m:r>
                  </m:e>
                  <m:e>
                    <m:r>
                      <m:rPr>
                        <m:sty m:val="p"/>
                      </m:rPr>
                      <m:t>−</m:t>
                    </m:r>
                    <m:r>
                      <m:t>1</m:t>
                    </m:r>
                  </m:e>
                </m:mr>
                <m:mr>
                  <m:e>
                    <m:r>
                      <m:rPr>
                        <m:sty m:val="p"/>
                      </m:rPr>
                      <m:t>−</m:t>
                    </m:r>
                    <m:r>
                      <m:t>1</m:t>
                    </m:r>
                  </m:e>
                  <m:e>
                    <m:r>
                      <m:rPr>
                        <m:sty m:val="p"/>
                      </m:rPr>
                      <m:t>−</m:t>
                    </m:r>
                    <m:r>
                      <m:t>1</m:t>
                    </m:r>
                  </m:e>
                  <m:e>
                    <m:r>
                      <m:t>2</m:t>
                    </m:r>
                  </m:e>
                </m:mr>
              </m:m>
            </m:e>
          </m:d>
          <m:r>
            <m:rPr>
              <m:sty m:val="p"/>
            </m:rPr>
            <m:t>.</m:t>
          </m:r>
        </m:oMath>
      </m:oMathPara>
    </w:p>
    <w:p>
      <w:r>
        <w:t xml:space="preserve">Its determinant is zero, contradicting the generators’ independence. Therefore only the path remains: the root system </w:t>
      </w:r>
      <m:oMath>
        <m:sSub>
          <m:e>
            <m:r>
              <m:t>A</m:t>
            </m:r>
          </m:e>
          <m:sub>
            <m:r>
              <m:t>3</m:t>
            </m:r>
          </m:sub>
        </m:sSub>
      </m:oMath>
      <w:r>
        <w:t xml:space="preserve">. This is a special case of established root-system classification. </w:t>
      </w:r>
      <w:hyperlink r:id="rId10">
        <w:r>
          <w:rPr>
            <w:color w:val="174A70"/>
            <w:u w:val="single"/>
          </w:rPr>
          <w:t>Pavel Etingof, Lie Groups and Lie Algebras, sections 21 to 23</w:t>
        </w:r>
      </w:hyperlink>
    </w:p>
    <w:p>
      <w:pPr>
        <w:keepNext/>
      </w:pPr>
      <w:r>
        <w:t>The resulting vectors can be written as</w:t>
      </w:r>
    </w:p>
    <w:p>
      <w:pPr>
        <w:keepLines/>
        <w:spacing w:before="80" w:after="180"/>
        <w:jc w:val="center"/>
      </w:pPr>
      <m:oMathPara>
        <m:oMathParaPr>
          <m:jc m:val="center"/>
        </m:oMathParaPr>
        <m:oMath>
          <m:r>
            <m:t>R</m:t>
          </m:r>
          <m:r>
            <m:rPr>
              <m:sty m:val="p"/>
            </m:rPr>
            <m:t>=</m:t>
          </m:r>
          <m:r>
            <m:rPr>
              <m:sty m:val="p"/>
            </m:rPr>
            <m:t>{</m:t>
          </m:r>
          <m:r>
            <m:t>(</m:t>
          </m:r>
          <m:r>
            <m:rPr>
              <m:sty m:val="p"/>
            </m:rPr>
            <m:t>±</m:t>
          </m:r>
          <m:r>
            <m:t>1</m:t>
          </m:r>
          <m:r>
            <m:rPr>
              <m:sty m:val="p"/>
            </m:rPr>
            <m:t>,</m:t>
          </m:r>
          <m:r>
            <m:rPr>
              <m:sty m:val="p"/>
            </m:rPr>
            <m:t>±</m:t>
          </m:r>
          <m:r>
            <m:t>1</m:t>
          </m:r>
          <m:r>
            <m:rPr>
              <m:sty m:val="p"/>
            </m:rPr>
            <m:t>,</m:t>
          </m:r>
          <m:r>
            <m:t>0</m:t>
          </m:r>
          <m:r>
            <m:t>)</m:t>
          </m:r>
          <m:r>
            <m:rPr>
              <m:sty m:val="p"/>
            </m:rPr>
            <m:t>,</m:t>
          </m:r>
          <m:r>
            <m:t> </m:t>
          </m:r>
          <m:r>
            <m:t>(</m:t>
          </m:r>
          <m:r>
            <m:rPr>
              <m:sty m:val="p"/>
            </m:rPr>
            <m:t>±</m:t>
          </m:r>
          <m:r>
            <m:t>1</m:t>
          </m:r>
          <m:r>
            <m:rPr>
              <m:sty m:val="p"/>
            </m:rPr>
            <m:t>,</m:t>
          </m:r>
          <m:r>
            <m:t>0</m:t>
          </m:r>
          <m:r>
            <m:rPr>
              <m:sty m:val="p"/>
            </m:rPr>
            <m:t>,</m:t>
          </m:r>
          <m:r>
            <m:rPr>
              <m:sty m:val="p"/>
            </m:rPr>
            <m:t>±</m:t>
          </m:r>
          <m:r>
            <m:t>1</m:t>
          </m:r>
          <m:r>
            <m:t>)</m:t>
          </m:r>
          <m:r>
            <m:rPr>
              <m:sty m:val="p"/>
            </m:rPr>
            <m:t>,</m:t>
          </m:r>
          <m:r>
            <m:t> </m:t>
          </m:r>
          <m:r>
            <m:t>(</m:t>
          </m:r>
          <m:r>
            <m:t>0</m:t>
          </m:r>
          <m:r>
            <m:rPr>
              <m:sty m:val="p"/>
            </m:rPr>
            <m:t>,</m:t>
          </m:r>
          <m:r>
            <m:rPr>
              <m:sty m:val="p"/>
            </m:rPr>
            <m:t>±</m:t>
          </m:r>
          <m:r>
            <m:t>1</m:t>
          </m:r>
          <m:r>
            <m:rPr>
              <m:sty m:val="p"/>
            </m:rPr>
            <m:t>,</m:t>
          </m:r>
          <m:r>
            <m:rPr>
              <m:sty m:val="p"/>
            </m:rPr>
            <m:t>±</m:t>
          </m:r>
          <m:r>
            <m:t>1</m:t>
          </m:r>
          <m:r>
            <m:t>)</m:t>
          </m:r>
          <m:r>
            <m:rPr>
              <m:sty m:val="p"/>
            </m:rPr>
            <m:t>}</m:t>
          </m:r>
          <m:r>
            <m:rPr>
              <m:sty m:val="p"/>
            </m:rPr>
            <m:t>.</m:t>
          </m:r>
        </m:oMath>
      </m:oMathPara>
    </w:p>
    <w:p>
      <w:r>
        <w:t xml:space="preserve">These are exactly the twelve cuboctahedron vertices. The connection between </w:t>
      </w:r>
      <m:oMath>
        <m:sSub>
          <m:e>
            <m:r>
              <m:t>A</m:t>
            </m:r>
          </m:e>
          <m:sub>
            <m:r>
              <m:t>3</m:t>
            </m:r>
          </m:sub>
        </m:sSub>
      </m:oMath>
      <w:r>
        <w:t xml:space="preserve"> and the cuboctahedron is explicitly demonstrated in mathematical research. </w:t>
      </w:r>
      <w:hyperlink r:id="rId11">
        <w:r>
          <w:rPr>
            <w:color w:val="174A70"/>
            <w:u w:val="single"/>
          </w:rPr>
          <w:t>Pierre-Philippe Dechant, Proposition 6.1</w:t>
        </w:r>
      </w:hyperlink>
    </w:p>
    <w:p>
      <w:pPr>
        <w:keepNext/>
      </w:pPr>
      <w:r>
        <w:t>I also checked the coordinates directly: the reflection operations preserve the set, the vectors sum to zero, and their outer products satisfy</w:t>
      </w:r>
    </w:p>
    <w:p>
      <w:pPr>
        <w:keepLines/>
        <w:spacing w:before="80" w:after="180"/>
        <w:jc w:val="center"/>
      </w:pPr>
      <m:oMathPara>
        <m:oMathParaPr>
          <m:jc m:val="center"/>
        </m:oMathParaPr>
        <m:oMath>
          <m:nary>
            <m:naryPr>
              <m:chr m:val="∑"/>
              <m:limLoc m:val="undOvr"/>
              <m:subHide m:val="off"/>
              <m:supHide m:val="on"/>
            </m:naryPr>
            <m:sub>
              <m:r>
                <m:t>v</m:t>
              </m:r>
              <m:r>
                <m:rPr>
                  <m:sty m:val="p"/>
                </m:rPr>
                <m:t>∈</m:t>
              </m:r>
              <m:r>
                <m:t>R</m:t>
              </m:r>
            </m:sub>
            <m:sup>
              <m:r>
                <m:t>​</m:t>
              </m:r>
            </m:sup>
            <m:e>
              <m:r>
                <m:t>v</m:t>
              </m:r>
            </m:e>
          </m:nary>
          <m:sSup>
            <m:e>
              <m:r>
                <m:t>v</m:t>
              </m:r>
            </m:e>
            <m:sup>
              <m:r>
                <m:rPr>
                  <m:sty m:val="p"/>
                  <m:scr m:val="sans-serif"/>
                </m:rPr>
                <m:t>T</m:t>
              </m:r>
            </m:sup>
          </m:sSup>
          <m:r>
            <m:rPr>
              <m:sty m:val="p"/>
            </m:rPr>
            <m:t>=</m:t>
          </m:r>
          <m:r>
            <m:t>8</m:t>
          </m:r>
          <m:r>
            <m:t>I</m:t>
          </m:r>
          <m:r>
            <m:rPr>
              <m:sty m:val="p"/>
            </m:rPr>
            <m:t>.</m:t>
          </m:r>
        </m:oMath>
      </m:oMathPara>
    </w:p>
    <w:p>
      <w:r>
        <w:t>The last equation means the collection has the same second-moment distribution in every direction. It supplies a precise geometric sense in which no direction dominates.</w:t>
      </w:r>
    </w:p>
    <w:p>
      <w:r>
        <w:rPr>
          <w:b/>
        </w:rPr>
        <w:t>That is a successful conditional geometric demonstration. It is not yet a demonstration of explanatory closure.</w:t>
      </w:r>
    </w:p>
    <w:p>
      <w:r>
        <w:t xml:space="preserve">The distinction matters because the fourth assumption, the integer condition, is doing essential work. Remove it, and another irreducible, equal-length, reflection-preserving collection becomes available: the thirty vectors of the </w:t>
      </w:r>
      <m:oMath>
        <m:sSub>
          <m:e>
            <m:r>
              <m:t>H</m:t>
            </m:r>
          </m:e>
          <m:sub>
            <m:r>
              <m:t>3</m:t>
            </m:r>
          </m:sub>
        </m:sSub>
      </m:oMath>
      <w:r>
        <w:t xml:space="preserve"> root system, forming an icosidodecahedron. </w:t>
      </w:r>
      <w:hyperlink r:id="rId11">
        <w:r>
          <w:rPr>
            <w:color w:val="174A70"/>
            <w:u w:val="single"/>
          </w:rPr>
          <w:t>Dechant, Proposition 8.1</w:t>
        </w:r>
      </w:hyperlink>
    </w:p>
    <w:p>
      <w:pPr>
        <w:keepNext/>
      </w:pPr>
      <w:r>
        <w:t>For that collection, using unit vectors, I checked that</w:t>
      </w:r>
    </w:p>
    <w:p>
      <w:pPr>
        <w:keepLines/>
        <w:spacing w:before="80" w:after="180"/>
        <w:jc w:val="center"/>
      </w:pPr>
      <m:oMathPara>
        <m:oMathParaPr>
          <m:jc m:val="center"/>
        </m:oMathParaPr>
        <m:oMath>
          <m:nary>
            <m:naryPr>
              <m:chr m:val="∑"/>
              <m:limLoc m:val="undOvr"/>
              <m:subHide m:val="off"/>
              <m:supHide m:val="on"/>
            </m:naryPr>
            <m:sub>
              <m:r>
                <m:t>v</m:t>
              </m:r>
              <m:r>
                <m:rPr>
                  <m:sty m:val="p"/>
                </m:rPr>
                <m:t>∈</m:t>
              </m:r>
              <m:sSub>
                <m:e>
                  <m:r>
                    <m:t>H</m:t>
                  </m:r>
                </m:e>
                <m:sub>
                  <m:r>
                    <m:t>3</m:t>
                  </m:r>
                </m:sub>
              </m:sSub>
            </m:sub>
            <m:sup>
              <m:r>
                <m:t>​</m:t>
              </m:r>
            </m:sup>
            <m:e>
              <m:r>
                <m:t>v</m:t>
              </m:r>
            </m:e>
          </m:nary>
          <m:r>
            <m:rPr>
              <m:sty m:val="p"/>
            </m:rPr>
            <m:t>=</m:t>
          </m:r>
          <m:r>
            <m:t>0</m:t>
          </m:r>
          <m:r>
            <m:rPr>
              <m:sty m:val="p"/>
            </m:rPr>
            <m:t>,</m:t>
          </m:r>
          <m:r>
            <m:t>  </m:t>
          </m:r>
          <m:nary>
            <m:naryPr>
              <m:chr m:val="∑"/>
              <m:limLoc m:val="undOvr"/>
              <m:subHide m:val="off"/>
              <m:supHide m:val="on"/>
            </m:naryPr>
            <m:sub>
              <m:r>
                <m:t>v</m:t>
              </m:r>
              <m:r>
                <m:rPr>
                  <m:sty m:val="p"/>
                </m:rPr>
                <m:t>∈</m:t>
              </m:r>
              <m:sSub>
                <m:e>
                  <m:r>
                    <m:t>H</m:t>
                  </m:r>
                </m:e>
                <m:sub>
                  <m:r>
                    <m:t>3</m:t>
                  </m:r>
                </m:sub>
              </m:sSub>
            </m:sub>
            <m:sup>
              <m:r>
                <m:t>​</m:t>
              </m:r>
            </m:sup>
            <m:e>
              <m:r>
                <m:t>v</m:t>
              </m:r>
            </m:e>
          </m:nary>
          <m:sSup>
            <m:e>
              <m:r>
                <m:t>v</m:t>
              </m:r>
            </m:e>
            <m:sup>
              <m:r>
                <m:rPr>
                  <m:sty m:val="p"/>
                  <m:scr m:val="sans-serif"/>
                </m:rPr>
                <m:t>T</m:t>
              </m:r>
            </m:sup>
          </m:sSup>
          <m:r>
            <m:rPr>
              <m:sty m:val="p"/>
            </m:rPr>
            <m:t>=</m:t>
          </m:r>
          <m:r>
            <m:t>10</m:t>
          </m:r>
          <m:r>
            <m:t>I</m:t>
          </m:r>
          <m:r>
            <m:rPr>
              <m:sty m:val="p"/>
            </m:rPr>
            <m:t>.</m:t>
          </m:r>
        </m:oMath>
      </m:oMathPara>
    </w:p>
    <w:p>
      <w:r>
        <w:t>Thus equal vectors, cancellation, and substantial symmetry do not themselves exclude this alternative.</w:t>
      </w:r>
    </w:p>
    <w:p>
      <w:r>
        <w:t xml:space="preserve">I am </w:t>
      </w:r>
      <w:r>
        <w:rPr>
          <w:b/>
        </w:rPr>
        <w:t>not claiming that this alternative achieves your deeper meaning of balance</w:t>
      </w:r>
      <w:r>
        <w:t>. Its role is narrower: it shows why a geometric translation of your principle needs justification. We cannot infer that a structure fails to explain existence merely because it violates an additional mathematical rule we selected.</w:t>
      </w:r>
    </w:p>
    <w:p>
      <w:pPr>
        <w:pStyle w:val="Heading1"/>
        <w:pageBreakBefore/>
      </w:pPr>
      <w:r>
        <w:t>What remains unproved</w:t>
      </w:r>
    </w:p>
    <w:p>
      <w:pPr>
        <w:keepNext/>
      </w:pPr>
      <w:r>
        <w:t>The attempted full derivation therefore reaches this point:</w:t>
      </w:r>
    </w:p>
    <w:p>
      <w:pPr>
        <w:keepLines/>
        <w:spacing w:before="80" w:after="180"/>
        <w:jc w:val="center"/>
      </w:pPr>
      <m:oMathPara>
        <m:oMathParaPr>
          <m:jc m:val="center"/>
        </m:oMathParaPr>
        <m:oMath>
          <m:m>
            <m:mPr>
              <m:baseJc m:val="center"/>
              <m:plcHide m:val="on"/>
              <m:mcs>
                <m:mc>
                  <m:mcPr>
                    <m:mcJc m:val="center"/>
                    <m:count m:val="1"/>
                  </m:mcPr>
                </m:mc>
              </m:mcs>
            </m:mPr>
            <m:mr>
              <m:e>
                <m:r>
                  <m:rPr>
                    <m:nor/>
                    <m:sty m:val="p"/>
                  </m:rPr>
                  <m:t>Complete explanatory closure</m:t>
                </m:r>
              </m:e>
            </m:mr>
            <m:mr>
              <m:e>
                <m:r>
                  <m:rPr>
                    <m:sty m:val="p"/>
                  </m:rPr>
                  <m:t>⇓</m:t>
                </m:r>
                <m:r>
                  <m:t> </m:t>
                </m:r>
                <m:r>
                  <m:rPr>
                    <m:nor/>
                    <m:sty m:val="p"/>
                  </m:rPr>
                  <m:t>unproved</m:t>
                </m:r>
              </m:e>
            </m:mr>
            <m:mr>
              <m:e>
                <m:r>
                  <m:rPr>
                    <m:nor/>
                    <m:sty m:val="p"/>
                  </m:rPr>
                  <m:t>The four geometric requirements</m:t>
                </m:r>
              </m:e>
            </m:mr>
            <m:mr>
              <m:e>
                <m:r>
                  <m:rPr>
                    <m:sty m:val="p"/>
                  </m:rPr>
                  <m:t>⇓</m:t>
                </m:r>
                <m:r>
                  <m:t> </m:t>
                </m:r>
                <m:r>
                  <m:rPr>
                    <m:nor/>
                    <m:sty m:val="p"/>
                  </m:rPr>
                  <m:t>proved</m:t>
                </m:r>
              </m:e>
            </m:mr>
            <m:mr>
              <m:e>
                <m:r>
                  <m:rPr>
                    <m:nor/>
                    <m:sty m:val="p"/>
                  </m:rPr>
                  <m:t>Cuboctahedron</m:t>
                </m:r>
              </m:e>
            </m:mr>
          </m:m>
        </m:oMath>
      </m:oMathPara>
    </w:p>
    <w:p>
      <w:r>
        <w:t>A further derivation would have to establish that this geometry requires your particular dual-torus activity, and that the complete system actually resolves foundational dependence. A collection of vectors alone does not specify its dynamics or establish that metaphysical result.</w:t>
      </w:r>
    </w:p>
    <w:p>
      <w:r>
        <w:t>This is also why defining balance as “whatever closes regress” cannot finish the demonstration. That definition identifies the required accomplishment; it does not establish which structure accomplishes it.</w:t>
      </w:r>
    </w:p>
    <w:p>
      <w:r>
        <w:t xml:space="preserve">In everyday language: </w:t>
      </w:r>
      <w:r>
        <w:rPr>
          <w:b/>
        </w:rPr>
        <w:t>I found rules under which your cuboctahedron really is the only possible answer.</w:t>
      </w:r>
      <w:r>
        <w:t xml:space="preserve"> But I had to add rules that we have not shown reality must obey. Other symmetric structures remain possible when one of those rules is relaxed. To prove your full claim, we must show that relaxing it makes existence incoherent, not merely that it produces a different shape.</w:t>
      </w:r>
    </w:p>
    <w:p>
      <w:r>
        <w:t xml:space="preserve">So the answer for tonight is: </w:t>
      </w:r>
      <w:r>
        <w:rPr>
          <w:b/>
        </w:rPr>
        <w:t>the full uniqueness claim remains unproved.</w:t>
      </w:r>
      <w:r>
        <w:t xml:space="preserve"> We have a concrete mathematical route to the cuboctahedron, with its assumptions exposed, rather than a completed solution to infinite regress. The remaining work concerns the central philosophical-to-mathematical implication, not just polishing the presentation.</w:t>
      </w:r>
    </w:p>
    <w:sectPr w:rsidR="00FC693F" w:rsidRPr="0006063C" w:rsidSect="00034616">
      <w:footerReference w:type="default" r:id="rId9"/>
      <w:pgSz w:w="12240" w:h="15840"/>
      <w:pgMar w:top="1224" w:right="1440" w:bottom="1224" w:left="144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pdf/2201.09397" TargetMode="External"/><Relationship Id="rId11" Type="http://schemas.openxmlformats.org/officeDocument/2006/relationships/hyperlink" Target="https://arxiv.org/pdf/1205.14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Cuboctahedron Uniqueness and Infinite Regress</dc:title>
  <dc:subject>Conditional geometric uniqueness and the unresolved claim of complete explanatory closure</dc:subject>
  <dc:creator>ChatGPT</dc:creator>
  <cp:keywords/>
  <dc:description>generated by python-docx</dc:description>
  <cp:lastModifiedBy/>
  <cp:revision>1</cp:revision>
  <dcterms:created xsi:type="dcterms:W3CDTF">2026-09-15T00:00:00Z</dcterms:created>
  <dcterms:modified xsi:type="dcterms:W3CDTF">2026-09-15T00:00:00Z</dcterms:modified>
  <cp:category/>
</cp:coreProperties>
</file>