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NaFCM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phase </w:t>
      </w:r>
      <w:r>
        <w:rPr>
          <w:color w:val="CCCC00"/>
        </w:rPr>
        <w:t xml:space="preserve">evolution </w:t>
      </w:r>
      <w:r>
        <w:rPr>
          <w:color w:val="CCCC00"/>
        </w:rPr>
        <w:t xml:space="preserve">upon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66CC00"/>
        </w:rPr>
        <w:t xml:space="preserve">competitive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later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Mg-free </w:t>
      </w:r>
      <w:r>
        <w:rPr>
          <w:color w:val="000000"/>
        </w:rPr>
        <w:t xml:space="preserve">NaFC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138.6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apparent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cycling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CCCC00"/>
        </w:rPr>
        <w:t xml:space="preserve">Fe4+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