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16AB1" w14:textId="4477BBC1" w:rsidR="00351F39" w:rsidRPr="00351F39" w:rsidRDefault="00351F39" w:rsidP="00351F39">
      <w:pPr>
        <w:rPr>
          <w:sz w:val="60"/>
          <w:szCs w:val="60"/>
        </w:rPr>
      </w:pPr>
      <w:bookmarkStart w:id="0" w:name="_Toc131691382"/>
      <w:r w:rsidRPr="00351F39">
        <w:rPr>
          <w:sz w:val="60"/>
          <w:szCs w:val="60"/>
        </w:rPr>
        <w:t>Viral_Probe_Designer</w:t>
      </w:r>
      <w:r>
        <w:rPr>
          <w:sz w:val="60"/>
          <w:szCs w:val="60"/>
        </w:rPr>
        <w:t>.py</w:t>
      </w:r>
    </w:p>
    <w:p w14:paraId="6EC974FD" w14:textId="076288EB" w:rsidR="00351F39" w:rsidRPr="00351F39" w:rsidRDefault="00351F39" w:rsidP="00351F39">
      <w:pPr>
        <w:pStyle w:val="ListParagraph"/>
        <w:rPr>
          <w:i/>
          <w:iCs/>
          <w:sz w:val="32"/>
          <w:szCs w:val="32"/>
        </w:rPr>
      </w:pPr>
      <w:r w:rsidRPr="00351F39">
        <w:rPr>
          <w:i/>
          <w:iCs/>
          <w:sz w:val="32"/>
          <w:szCs w:val="32"/>
        </w:rPr>
        <w:t xml:space="preserve">A bioinformatic approach to designing a small but comprehensive oligonucleotide pool for viral sequence </w:t>
      </w:r>
      <w:proofErr w:type="gramStart"/>
      <w:r w:rsidRPr="00351F39">
        <w:rPr>
          <w:i/>
          <w:iCs/>
          <w:sz w:val="32"/>
          <w:szCs w:val="32"/>
        </w:rPr>
        <w:t>capture</w:t>
      </w:r>
      <w:bookmarkEnd w:id="0"/>
      <w:proofErr w:type="gramEnd"/>
    </w:p>
    <w:p w14:paraId="4199F696" w14:textId="0BBD950F" w:rsidR="00351F39" w:rsidRDefault="00351F39" w:rsidP="00252ABA">
      <w:pPr>
        <w:pStyle w:val="Heading2"/>
      </w:pPr>
      <w:bookmarkStart w:id="1" w:name="_Toc131691383"/>
      <w:r>
        <w:t>Abstract</w:t>
      </w:r>
      <w:bookmarkEnd w:id="1"/>
    </w:p>
    <w:p w14:paraId="4A95A8E4" w14:textId="77777777" w:rsidR="00351F39" w:rsidRDefault="00351F39" w:rsidP="00351F39">
      <w:r>
        <w:t>Background: Enrichment of viral sequences from complex samples using probes can very specifically improve length and depth of coverage. When the target species exhibits a high degree of diversity, however, designing a cost-effective panel of probes that can specifically enrich targeted sequences with low levels of redundancy becomes a challenge.</w:t>
      </w:r>
    </w:p>
    <w:p w14:paraId="6A7D08D8" w14:textId="77777777" w:rsidR="00351F39" w:rsidRDefault="00351F39" w:rsidP="00351F39">
      <w:r>
        <w:t>Results: We designed a pipeline written in python 3 that takes as input a series of reference sequences and outputs a minimal number of probes to reflect the diversity of the given sequences. We compared the performance of our tool to other published strategies for design of oligonucleotide probes in enrichment of viral sequences using a set of 212 hepatitis C virus genomes across 13 subtypes.</w:t>
      </w:r>
    </w:p>
    <w:p w14:paraId="59C93463" w14:textId="77777777" w:rsidR="00351F39" w:rsidRDefault="00351F39" w:rsidP="00351F39">
      <w:r>
        <w:t xml:space="preserve">Conclusion: Though it is slower and has a limit to the size of datasets it can feasibly process, the pipeline presented here can propose panels of probes that are smaller and denser in their diversity than other tools of its kind. The tool is highly customizable, with built-in quality control and visual analysis of the probes and design process. The tool is publicly available at: </w:t>
      </w:r>
    </w:p>
    <w:p w14:paraId="16EBA5B7" w14:textId="77777777" w:rsidR="00351F39" w:rsidRDefault="00351F39" w:rsidP="00351F39">
      <w:r w:rsidRPr="00FF2962">
        <w:rPr>
          <w:i/>
          <w:iCs/>
        </w:rPr>
        <w:t>https://github.com/ThorhaugeDK/Viral_Probe_Designer/</w:t>
      </w:r>
    </w:p>
    <w:p w14:paraId="69411899" w14:textId="77777777" w:rsidR="00351F39" w:rsidRDefault="00351F39" w:rsidP="00351F39"/>
    <w:p w14:paraId="01598B7D" w14:textId="77777777" w:rsidR="00351F39" w:rsidRDefault="00351F39" w:rsidP="00351F39">
      <w:pPr>
        <w:pStyle w:val="Heading2"/>
      </w:pPr>
      <w:bookmarkStart w:id="2" w:name="_Toc131691384"/>
      <w:r>
        <w:t>Background</w:t>
      </w:r>
      <w:bookmarkEnd w:id="2"/>
    </w:p>
    <w:p w14:paraId="6348EF15" w14:textId="1C02FF0D" w:rsidR="00351F39" w:rsidRDefault="00351F39" w:rsidP="00351F39">
      <w:r>
        <w:t xml:space="preserve">When conducting research on viral sequences from complex, biological samples, targeted enrichment can increase the amount of relevant information generated, lower the costs of data acquisition, and facilitate the study of low quality samples that would have otherwise failed </w:t>
      </w:r>
      <w:r>
        <w:fldChar w:fldCharType="begin" w:fldLock="1"/>
      </w:r>
      <w:r w:rsidR="00B94BFB">
        <w:instrText>ADDIN CSL_CITATION {"citationItems":[{"id":"ITEM-1","itemData":{"DOI":"10.1038/nmeth.1419","ISSN":"1548-7105","PMID":"20111037","abstract":"We have not yet reached a point at which routine sequencing of large numbers of whole eukaryotic genomes is feasible, and so it is often necessary to select genomic regions of interest and to enrich these regions before sequencing. There are several enrichment approaches, each with unique advantages and disadvantages. Here we describe our experiences with the leading target-enrichment technologies, the optimizations that we have performed and typical results that can be obtained using each. We also provide detailed protocols for each technology so that end users can find the best compromise between sensitivity, specificity and uniformity for their particular project.","author":[{"dropping-particle":"","family":"Mamanova","given":"Lira","non-dropping-particle":"","parse-names":false,"suffix":""},{"dropping-particle":"","family":"Coffey","given":"Alison J.","non-dropping-particle":"","parse-names":false,"suffix":""},{"dropping-particle":"","family":"Scott","given":"Carol E.","non-dropping-particle":"","parse-names":false,"suffix":""},{"dropping-particle":"","family":"Kozarewa","given":"Iwanka","non-dropping-particle":"","parse-names":false,"suffix":""},{"dropping-particle":"","family":"Turner","given":"Emily H.","non-dropping-particle":"","parse-names":false,"suffix":""},{"dropping-particle":"","family":"Kumar","given":"Akash","non-dropping-particle":"","parse-names":false,"suffix":""},{"dropping-particle":"","family":"Howard","given":"Eleanor","non-dropping-particle":"","parse-names":false,"suffix":""},{"dropping-particle":"","family":"Shendure","given":"Jay","non-dropping-particle":"","parse-names":false,"suffix":""},{"dropping-particle":"","family":"Turner","given":"Daniel J.","non-dropping-particle":"","parse-names":false,"suffix":""}],"container-title":"Nature Methods 2010 7:2","id":"ITEM-1","issue":"2","issued":{"date-parts":[["2010","1","28"]]},"page":"111-118","publisher":"Nature Publishing Group","title":"Target-enrichment strategies for next-generation sequencing","type":"article-journal","volume":"7"},"uris":["http://www.mendeley.com/documents/?uuid=0e5adcff-0bc3-334f-b8ae-4c5b19c16cae"]}],"mendeley":{"formattedCitation":"[1]","plainTextFormattedCitation":"[1]","previouslyFormattedCitation":"[163]"},"properties":{"noteIndex":0},"schema":"https://github.com/citation-style-language/schema/raw/master/csl-citation.json"}</w:instrText>
      </w:r>
      <w:r>
        <w:fldChar w:fldCharType="separate"/>
      </w:r>
      <w:r w:rsidR="00B94BFB" w:rsidRPr="00B94BFB">
        <w:rPr>
          <w:noProof/>
        </w:rPr>
        <w:t>[1]</w:t>
      </w:r>
      <w:r>
        <w:fldChar w:fldCharType="end"/>
      </w:r>
      <w:r>
        <w:t xml:space="preserve">. There are two main competing </w:t>
      </w:r>
      <w:r>
        <w:lastRenderedPageBreak/>
        <w:t xml:space="preserve">strategies in targeted enrichment: the PCR amplicon approach and hybridization capture. Both rely on the sequence homology of either PCR primers or magnetic probes to the target sequence for specific enrichment. The efficiency and comprehensiveness of a method relies on the specificity of these oligonucleotides to the target region across the established and unknown diversities that the target sequence can exhibit. While the PCR amplicon strategy remains a popular choice for target enrichment of highly diverse viruses </w:t>
      </w:r>
      <w:r>
        <w:fldChar w:fldCharType="begin" w:fldLock="1"/>
      </w:r>
      <w:r w:rsidR="00B94BFB">
        <w:instrText>ADDIN CSL_CITATION {"citationItems":[{"id":"ITEM-1","itemData":{"DOI":"10.1186/S12864-016-2575-8/FIGURES/4","ISSN":"14712164","PMID":"26988550","abstract":"Background: Hepatitis C virus (HCV) is a rapidly evolving RNA virus that has been classified into seven genotypes. All HCV genotypes cause chronic hepatitis, which ultimately leads to liver diseases such as cirrhosis. The genotypes are unevenly distributed across the globe, with genotypes 1 and 3 being the most prevalent. Until recently, molecular epidemiological studies of HCV evolution within the host and at the population level have been limited to the analyses of partial viral genome segments, as it has been technically challenging to amplify and sequence the full-length of the 9.6 kb HCV genome. Although recent improvements have been made in full genome sequencing methodologies, these protocols are still either limited to a specific genotype or cost-inefficient. Results: In this study we describe a genotype-specific protocol for the amplification and sequencing of the near-full length genome of all six major HCV genotypes. We applied this protocol to 122 HCV positive clinical samples, and had a successful genome amplification rate of 90 %, when the viral load was greater than 15,000 IU/ml. The assay was shown to have a detection limit of 1-3 cDNA copies per reaction. The method was tested with both Illumina and PacBio single molecule, real-time (SMRT) sequencing technologies. Illumina sequencing resulted in deep coverage and allowed detection of rare variants as well as HCV co-infection with multiple genotypes. The application of the method with PacBio RS resulted in sequence reads greater than 9 kb that covered the near full-length HCV amplicon in a single read and enabled analysis of the near full-length quasispecies. Conclusions: The protocol described herein can be utilised for rapid amplification and sequencing of the near-full length HCV genome in a cost efficient manner suitable for a wide range of applications.","author":[{"dropping-particle":"","family":"Bull","given":"Rowena A.","non-dropping-particle":"","parse-names":false,"suffix":""},{"dropping-particle":"","family":"Eltahla","given":"Auda A.","non-dropping-particle":"","parse-names":false,"suffix":""},{"dropping-particle":"","family":"Rodrigo","given":"Chaturaka","non-dropping-particle":"","parse-names":false,"suffix":""},{"dropping-particle":"","family":"Koekkoek","given":"Sylvie M.","non-dropping-particle":"","parse-names":false,"suffix":""},{"dropping-particle":"","family":"Walker","given":"Melanie","non-dropping-particle":"","parse-names":false,"suffix":""},{"dropping-particle":"","family":"Pirozyan","given":"Mehdi R.","non-dropping-particle":"","parse-names":false,"suffix":""},{"dropping-particle":"","family":"Betz-Stablein","given":"Brigid","non-dropping-particle":"","parse-names":false,"suffix":""},{"dropping-particle":"","family":"Toepfer","given":"Armin","non-dropping-particle":"","parse-names":false,"suffix":""},{"dropping-particle":"","family":"Laird","given":"Melissa","non-dropping-particle":"","parse-names":false,"suffix":""},{"dropping-particle":"","family":"Oh","given":"Steve","non-dropping-particle":"","parse-names":false,"suffix":""},{"dropping-particle":"","family":"Heiner","given":"Cheryl","non-dropping-particle":"","parse-names":false,"suffix":""},{"dropping-particle":"","family":"Maher","given":"Lisa","non-dropping-particle":"","parse-names":false,"suffix":""},{"dropping-particle":"","family":"Schinkel","given":"Janke","non-dropping-particle":"","parse-names":false,"suffix":""},{"dropping-particle":"","family":"Lloyd","given":"Andrew R.","non-dropping-particle":"","parse-names":false,"suffix":""},{"dropping-particle":"","family":"Luciani","given":"Fabio","non-dropping-particle":"","parse-names":false,"suffix":""}],"container-title":"BMC Genomics","id":"ITEM-1","issue":"1","issued":{"date-parts":[["2016","3","17"]]},"page":"1-10","publisher":"BioMed Central Ltd.","title":"A method for near full-length amplification and sequencing for six hepatitis C virus genotypes","type":"article-journal","volume":"17"},"uris":["http://www.mendeley.com/documents/?uuid=db57b1c7-1db7-38aa-860a-312caf6593b5"]},{"id":"ITEM-2","itemData":{"DOI":"10.1016/J.BDQ.2019.01.002","ISSN":"22147535","PMID":"30923677","abstract":"The analysis of HIV-1 sequences has helped understand the viral molecular epidemiology, monitor the development of antiretroviral drug resistance, and design candidate vaccines. The introduction of single genome amplification (SGA) has been a major advancement in the field, allowing for the characterization of multiple sequences per patient while preserving linkage among polymorphisms in the same viral genome copy. Sequencing of SGA amplicons is performed by capillary Sanger sequencing, which presents low throughput, requires a high amount of template, and is highly sensitive to template/primer mismatching. In order to meet the increasing demand for HIV-1 SGA amplicon sequencing, we have developed a platform based on benchtop next-generation sequencing (NGS) (IonTorrent) accompanied by a bioinformatics pipeline capable of running on computer resources commonly available at research laboratories. During assay validation, the NGS-based sequencing of 10 HIV-1 env SGA amplicons was fully concordant with Sanger sequencing. The field test was conducted on plasma samples from 10 US Navy and Marine service members with recent HIV-1 infection (sampling interval: 2005–2010; plasma viral load: 5,884–194,984 copies/ml). The NGS analysis of 101 SGA amplicons (median: 10 amplicons/individual) showed within-individual viral sequence profiles expected in individuals at this disease stage, including individuals with highly homogeneous quasispecies, individuals with two highly homogeneous viral lineages, and individuals with heterogeneous viral populations. In a scalability assessment using the Ion Chef automated system, 41/43 tested env SGA amplicons (95%) multiplexed on a single Ion 318 chip showed consistent gene-wide coverage &gt;50×. With lower sample requirements and higher throughput, this approach is suitable to support the increasing demand for high-quality and cost-effective HIV-1 sequences in fields such as molecular epidemiology, and development of preventive and therapeutic strategies.","author":[{"dropping-particle":"","family":"Kijak","given":"Gustavo H.","non-dropping-particle":"","parse-names":false,"suffix":""},{"dropping-particle":"","family":"Sanders-Buell","given":"Eric","non-dropping-particle":"","parse-names":false,"suffix":""},{"dropping-particle":"","family":"Pham","given":"Phuc","non-dropping-particle":"","parse-names":false,"suffix":""},{"dropping-particle":"","family":"Harbolick","given":"Elizabeth A.","non-dropping-particle":"","parse-names":false,"suffix":""},{"dropping-particle":"","family":"Oropeza","given":"Celina","non-dropping-particle":"","parse-names":false,"suffix":""},{"dropping-particle":"","family":"O'Sullivan","given":"Anne Marie","non-dropping-particle":"","parse-names":false,"suffix":""},{"dropping-particle":"","family":"Bose","given":"Meera","non-dropping-particle":"","parse-names":false,"suffix":""},{"dropping-particle":"","family":"Beckett","given":"Charmagne G.","non-dropping-particle":"","parse-names":false,"suffix":""},{"dropping-particle":"","family":"Milazzo","given":"Mark","non-dropping-particle":"","parse-names":false,"suffix":""},{"dropping-particle":"","family":"Robb","given":"Merlin L.","non-dropping-particle":"","parse-names":false,"suffix":""},{"dropping-particle":"","family":"Peel","given":"Sheila A.","non-dropping-particle":"","parse-names":false,"suffix":""},{"dropping-particle":"","family":"Scott","given":"Paul T.","non-dropping-particle":"","parse-names":false,"suffix":""},{"dropping-particle":"","family":"Michael","given":"Nelson L.","non-dropping-particle":"","parse-names":false,"suffix":""},{"dropping-particle":"","family":"Armstrong","given":"Adam W.","non-dropping-particle":"","parse-names":false,"suffix":""},{"dropping-particle":"","family":"Kim","given":"Jerome H.","non-dropping-particle":"","parse-names":false,"suffix":""},{"dropping-particle":"","family":"Brett-Major","given":"David M.","non-dropping-particle":"","parse-names":false,"suffix":""},{"dropping-particle":"","family":"Tovanabutra","given":"Sodsai","non-dropping-particle":"","parse-names":false,"suffix":""}],"container-title":"Biomolecular Detection and Quantification","id":"ITEM-2","issued":{"date-parts":[["2019","3","1"]]},"publisher":"Elsevier","title":"Next-generation sequencing of HIV-1 single genome amplicons","type":"article-journal","volume":"17"},"uris":["http://www.mendeley.com/documents/?uuid=853d7250-121b-38b4-87a8-89fa1d2119f3"]}],"mendeley":{"formattedCitation":"[2,3]","plainTextFormattedCitation":"[2,3]","previouslyFormattedCitation":"[63,164]"},"properties":{"noteIndex":0},"schema":"https://github.com/citation-style-language/schema/raw/master/csl-citation.json"}</w:instrText>
      </w:r>
      <w:r>
        <w:fldChar w:fldCharType="separate"/>
      </w:r>
      <w:r w:rsidR="00B94BFB" w:rsidRPr="00B94BFB">
        <w:rPr>
          <w:noProof/>
        </w:rPr>
        <w:t>[2,3]</w:t>
      </w:r>
      <w:r>
        <w:fldChar w:fldCharType="end"/>
      </w:r>
      <w:r>
        <w:t xml:space="preserve">, the method has limitations some of which can be largely circumvented by enriching with a competently designed panel of oligonucleotide probes. By increasing the length of probes beyond what is possible for primers, their level of similarity to the target sequence can be lowered without compromising their specificity </w:t>
      </w:r>
      <w:r>
        <w:fldChar w:fldCharType="begin" w:fldLock="1"/>
      </w:r>
      <w:r w:rsidR="00B94BFB">
        <w:instrText>ADDIN CSL_CITATION {"citationItems":[{"id":"ITEM-1","itemData":{"DOI":"10.1128/JCM.01052-16","ISSN":"1098660X","PMID":"27487952","abstract":"Norovirus full-genome sequencing is challenging due to sequence heterogeneity among genomes. Previous methods have relied on PCR amplification, which is problematic due to primer design, and transcriptome sequencing (RNA-Seq), which nonspecifically sequences all RNA, including host and bacterial RNA, in stool specimens. Target enrichment uses a panel of custom-designed 120-mer RNA baits that are complementary to all publicly available norovirus sequences, with multiple baits targeting each position of the genome, which overcomes the challenge of primer design. Norovirus genomes are enriched from stool RNA extracts to minimize the sequencing of nontarget RNA. SureSelect target enrichment and Illumina sequencing were used to sequence full genomes from 507 norovirus-positive stool samples with reverse transcription-real-time PCR cycle threshold (CT) values of 10 to 43. Sequencing on an Illumina MiSeq system in batches of 48 generated, on average, 81% on-target reads per sample and 100% genome coverage with &gt;12,000-fold read depth. Samples included genotypes GI.1, GI.2, GI.3, GI.6, GI.7, GII.1, GII.2, GII.3, GII.4, GII.5, GII.6, GII.7, GII.13, GII.14, and GII.17. When outliers were accounted for, we generated &gt;80% genome coverage for all positive samples, regardless of CT values. A total of 164 samples were tested in parallel with conventional PCR genotyping of the capsid shell domain; 164/164 samples were successfully sequenced, compared to 158/164 samples that were amplified by PCR. Four of the samples that failed capsid PCR analysis had low titers, which suggests that target enrichment is more sensitive than gel-based PCR. Two samples failed PCR due to primer mismatches; target enrichment uses multiple baits targeting each position, thus accommodating sequence heterogeneity among norovirus genomes.","author":[{"dropping-particle":"","family":"Brown","given":"Julianne R.","non-dropping-particle":"","parse-names":false,"suffix":""},{"dropping-particle":"","family":"Roy","given":"Sunando","non-dropping-particle":"","parse-names":false,"suffix":""},{"dropping-particle":"","family":"Ruis","given":"Christopher","non-dropping-particle":"","parse-names":false,"suffix":""},{"dropping-particle":"","family":"Yara Romero","given":"Erika","non-dropping-particle":"","parse-names":false,"suffix":""},{"dropping-particle":"","family":"Shah","given":"Divya","non-dropping-particle":"","parse-names":false,"suffix":""},{"dropping-particle":"","family":"Williams","given":"Rachel","non-dropping-particle":"","parse-names":false,"suffix":""},{"dropping-particle":"","family":"Breuer","given":"Judy","non-dropping-particle":"","parse-names":false,"suffix":""}],"container-title":"Journal of Clinical Microbiology","id":"ITEM-1","issue":"10","issued":{"date-parts":[["2016","10","1"]]},"page":"2530-2537","publisher":"American Society for Microbiology","title":"Norovirus whole-genome sequencing by SureSelect target enrichment: A robust and sensitive method","type":"article-journal","volume":"54"},"uris":["http://www.mendeley.com/documents/?uuid=8de2a147-97d6-370a-8aaa-7f0d315fcaa8"]}],"mendeley":{"formattedCitation":"[4]","plainTextFormattedCitation":"[4]","previouslyFormattedCitation":"[165]"},"properties":{"noteIndex":0},"schema":"https://github.com/citation-style-language/schema/raw/master/csl-citation.json"}</w:instrText>
      </w:r>
      <w:r>
        <w:fldChar w:fldCharType="separate"/>
      </w:r>
      <w:r w:rsidR="00B94BFB" w:rsidRPr="00B94BFB">
        <w:rPr>
          <w:noProof/>
        </w:rPr>
        <w:t>[4]</w:t>
      </w:r>
      <w:r>
        <w:fldChar w:fldCharType="end"/>
      </w:r>
      <w:r>
        <w:t xml:space="preserve">. This allows a probe to reliably enrich their target sequence with a degree of leniency not permitted by amplicons. PCR amplicon approaches also routinely require multiple rounds of nested PCRs and a perfect 3’ match, and may require sequence data up front to inform choice of primers </w:t>
      </w:r>
      <w:r>
        <w:fldChar w:fldCharType="begin" w:fldLock="1"/>
      </w:r>
      <w:r w:rsidR="00B94BFB">
        <w:instrText>ADDIN CSL_CITATION {"citationItems":[{"id":"ITEM-1","itemData":{"DOI":"10.1186/S12864-016-2575-8/FIGURES/4","ISSN":"14712164","PMID":"26988550","abstract":"Background: Hepatitis C virus (HCV) is a rapidly evolving RNA virus that has been classified into seven genotypes. All HCV genotypes cause chronic hepatitis, which ultimately leads to liver diseases such as cirrhosis. The genotypes are unevenly distributed across the globe, with genotypes 1 and 3 being the most prevalent. Until recently, molecular epidemiological studies of HCV evolution within the host and at the population level have been limited to the analyses of partial viral genome segments, as it has been technically challenging to amplify and sequence the full-length of the 9.6 kb HCV genome. Although recent improvements have been made in full genome sequencing methodologies, these protocols are still either limited to a specific genotype or cost-inefficient. Results: In this study we describe a genotype-specific protocol for the amplification and sequencing of the near-full length genome of all six major HCV genotypes. We applied this protocol to 122 HCV positive clinical samples, and had a successful genome amplification rate of 90 %, when the viral load was greater than 15,000 IU/ml. The assay was shown to have a detection limit of 1-3 cDNA copies per reaction. The method was tested with both Illumina and PacBio single molecule, real-time (SMRT) sequencing technologies. Illumina sequencing resulted in deep coverage and allowed detection of rare variants as well as HCV co-infection with multiple genotypes. The application of the method with PacBio RS resulted in sequence reads greater than 9 kb that covered the near full-length HCV amplicon in a single read and enabled analysis of the near full-length quasispecies. Conclusions: The protocol described herein can be utilised for rapid amplification and sequencing of the near-full length HCV genome in a cost efficient manner suitable for a wide range of applications.","author":[{"dropping-particle":"","family":"Bull","given":"Rowena A.","non-dropping-particle":"","parse-names":false,"suffix":""},{"dropping-particle":"","family":"Eltahla","given":"Auda A.","non-dropping-particle":"","parse-names":false,"suffix":""},{"dropping-particle":"","family":"Rodrigo","given":"Chaturaka","non-dropping-particle":"","parse-names":false,"suffix":""},{"dropping-particle":"","family":"Koekkoek","given":"Sylvie M.","non-dropping-particle":"","parse-names":false,"suffix":""},{"dropping-particle":"","family":"Walker","given":"Melanie","non-dropping-particle":"","parse-names":false,"suffix":""},{"dropping-particle":"","family":"Pirozyan","given":"Mehdi R.","non-dropping-particle":"","parse-names":false,"suffix":""},{"dropping-particle":"","family":"Betz-Stablein","given":"Brigid","non-dropping-particle":"","parse-names":false,"suffix":""},{"dropping-particle":"","family":"Toepfer","given":"Armin","non-dropping-particle":"","parse-names":false,"suffix":""},{"dropping-particle":"","family":"Laird","given":"Melissa","non-dropping-particle":"","parse-names":false,"suffix":""},{"dropping-particle":"","family":"Oh","given":"Steve","non-dropping-particle":"","parse-names":false,"suffix":""},{"dropping-particle":"","family":"Heiner","given":"Cheryl","non-dropping-particle":"","parse-names":false,"suffix":""},{"dropping-particle":"","family":"Maher","given":"Lisa","non-dropping-particle":"","parse-names":false,"suffix":""},{"dropping-particle":"","family":"Schinkel","given":"Janke","non-dropping-particle":"","parse-names":false,"suffix":""},{"dropping-particle":"","family":"Lloyd","given":"Andrew R.","non-dropping-particle":"","parse-names":false,"suffix":""},{"dropping-particle":"","family":"Luciani","given":"Fabio","non-dropping-particle":"","parse-names":false,"suffix":""}],"container-title":"BMC Genomics","id":"ITEM-1","issue":"1","issued":{"date-parts":[["2016","3","17"]]},"page":"1-10","publisher":"BioMed Central Ltd.","title":"A method for near full-length amplification and sequencing for six hepatitis C virus genotypes","type":"article-journal","volume":"17"},"uris":["http://www.mendeley.com/documents/?uuid=db57b1c7-1db7-38aa-860a-312caf6593b5"]},{"id":"ITEM-2","itemData":{"DOI":"10.1016/J.JVIROMET.2006.04.009","ISSN":"0166-0934","PMID":"16701907","abstract":"Full-length HIV-1 genome sequencing provides important data needed to address several vaccine design, molecular epidemiologic and pathogenesis questions. A protocol is presented for obtaining near full-length genomes (NFLGs) from subjects infected with HIV-1 subtype C. This protocol was used to amplify NFLGs from 244 of 366 (67%) samples collected at two clinics in Durban, South Africa (SK and PS). Viral load was directly associated with frequency of successful NFLG amplification for both cohorts (PS; p = 0.005 and SK; p &lt; 0.001). Seventeen of 38 initially NFLG-negative SK samples had variation within the PCR primer binding sites, however only 3 of these were successfully re-amplified using re-designed primers homologous to the target viruses. NFLGs were obtained from 7 of 24 PBMC samples processed from subjects whose plasma did not yield a NFLG. Stable plasmid clones were obtained from all 244 NFLG-positive PCR products, and both strands of each genome were sequenced, using a primary set of 46 primers. These methods thus allow the large-scale collection of HIV-1 NFLGs from populations infected primarily with subtype C. The methods are readily adaptable to other HIV-1 subtypes, and provide materials for viral functional analyses and population-based molecular epidemiology studies that include analysis of viral genome chimerization. © 2006 Elsevier B.V. All rights reserved.","author":[{"dropping-particle":"","family":"Rousseau","given":"Christine M.","non-dropping-particle":"","parse-names":false,"suffix":""},{"dropping-particle":"","family":"Birditt","given":"Brian A.","non-dropping-particle":"","parse-names":false,"suffix":""},{"dropping-particle":"","family":"McKay","given":"Angela R.","non-dropping-particle":"","parse-names":false,"suffix":""},{"dropping-particle":"","family":"Stoddard","given":"Julia N.","non-dropping-particle":"","parse-names":false,"suffix":""},{"dropping-particle":"","family":"Lee","given":"Tsan Chun","non-dropping-particle":"","parse-names":false,"suffix":""},{"dropping-particle":"","family":"McLaughlin","given":"Sherry","non-dropping-particle":"","parse-names":false,"suffix":""},{"dropping-particle":"","family":"Moore","given":"Sarah W.","non-dropping-particle":"","parse-names":false,"suffix":""},{"dropping-particle":"","family":"Shindo","given":"Nice","non-dropping-particle":"","parse-names":false,"suffix":""},{"dropping-particle":"","family":"Learn","given":"Gerald H.","non-dropping-particle":"","parse-names":false,"suffix":""},{"dropping-particle":"","family":"Korber","given":"Bette T.","non-dropping-particle":"","parse-names":false,"suffix":""},{"dropping-particle":"","family":"Brander","given":"Christian","non-dropping-particle":"","parse-names":false,"suffix":""},{"dropping-particle":"","family":"Goulder","given":"Philip J.R.","non-dropping-particle":"","parse-names":false,"suffix":""},{"dropping-particle":"","family":"Kiepiela","given":"Photini","non-dropping-particle":"","parse-names":false,"suffix":""},{"dropping-particle":"","family":"Walker","given":"Bruce D.","non-dropping-particle":"","parse-names":false,"suffix":""},{"dropping-particle":"","family":"Mullins","given":"James I.","non-dropping-particle":"","parse-names":false,"suffix":""}],"container-title":"Journal of Virological Methods","id":"ITEM-2","issue":"1-2","issued":{"date-parts":[["2006","9","1"]]},"page":"118-125","publisher":"Elsevier","title":"Large-scale amplification, cloning and sequencing of near full-length HIV-1 subtype C genomes","type":"article-journal","volume":"136"},"uris":["http://www.mendeley.com/documents/?uuid=49e9dd70-7bf5-3a23-9b32-87705ccc6042"]}],"mendeley":{"formattedCitation":"[2,5]","plainTextFormattedCitation":"[2,5]","previouslyFormattedCitation":"[63,166]"},"properties":{"noteIndex":0},"schema":"https://github.com/citation-style-language/schema/raw/master/csl-citation.json"}</w:instrText>
      </w:r>
      <w:r>
        <w:fldChar w:fldCharType="separate"/>
      </w:r>
      <w:r w:rsidR="00B94BFB" w:rsidRPr="00B94BFB">
        <w:rPr>
          <w:noProof/>
        </w:rPr>
        <w:t>[2,5]</w:t>
      </w:r>
      <w:r>
        <w:fldChar w:fldCharType="end"/>
      </w:r>
      <w:r>
        <w:t xml:space="preserve">. A large panel of probes can be designed against the total expected diversity within a target virus and deployed simultaneously for ultra-wide and -deep sequencing of highly variable species without prior knowledge of strain or subtype of infection. This method has not only been used for distinct highly variable viruses </w:t>
      </w:r>
      <w:r>
        <w:fldChar w:fldCharType="begin" w:fldLock="1"/>
      </w:r>
      <w:r w:rsidR="00B94BFB">
        <w:instrText>ADDIN CSL_CITATION {"citationItems":[{"id":"ITEM-1","itemData":{"DOI":"10.12688/f1000research.7111.1","ISSN":"2046-1402 (Print)","PMID":"27092241","abstract":"The routine availability of high-depth virus sequence data would allow the sensitive detection of resistance-associated variants that can jeopardize HIV or hepatitis C virus (HCV) treatment. We introduce ve-SEQ, a high-throughput method for sequence-specific enrichment and characterization of whole-virus genomes at up to 20% divergence from a reference sequence and 1,000-fold greater sensitivity than direct sequencing. The extreme genetic diversity of HCV led us to implement an algorithm for the efficient design of panels of oligonucleotide probes to capture any sequence among a defined set of targets without detectable bias. ve-SEQ enables efficient detection and sequencing of any HCV genome, including mixtures and intra-host variants, in a single experiment, with greater tolerance of sequence diversity than standard amplification methods and greater sensitivity than metagenomic sequencing, features that are directly applicable to other pathogens or arbitrary groups of target organisms, allowing the combination of sensitive detection with sequencing in many settings.","author":[{"dropping-particle":"","family":"Bonsall","given":"David","non-dropping-particle":"","parse-names":false,"suffix":""},{"dropping-particle":"","family":"Ansari","given":"M Azim","non-dropping-particle":"","parse-names":false,"suffix":""},{"dropping-particle":"","family":"Ip","given":"Camilla","non-dropping-particle":"","parse-names":false,"suffix":""},{"dropping-particle":"","family":"Trebes","given":"Amy","non-dropping-particle":"","parse-names":false,"suffix":""},{"dropping-particle":"","family":"Brown","given":"Anthony","non-dropping-particle":"","parse-names":false,"suffix":""},{"dropping-particle":"","family":"Klenerman","given":"Paul","non-dropping-particle":"","parse-names":false,"suffix":""},{"dropping-particle":"","family":"Buck","given":"David","non-dropping-particle":"","parse-names":false,"suffix":""},{"dropping-particle":"","family":"STOP-HCV Consortium","given":"","non-dropping-particle":"","parse-names":false,"suffix":""},{"dropping-particle":"","family":"Piazza","given":"Paolo","non-dropping-particle":"","parse-names":false,"suffix":""},{"dropping-particle":"","family":"Barnes","given":"Eleanor","non-dropping-particle":"","parse-names":false,"suffix":""},{"dropping-particle":"","family":"Bowden","given":"Rory","non-dropping-particle":"","parse-names":false,"suffix":""}],"container-title":"F1000Research","id":"ITEM-1","issued":{"date-parts":[["2015"]]},"language":"eng","page":"1062","publisher":"Faculty of 1000 Ltd","publisher-place":"England","title":"ve-SEQ: Robust, unbiased enrichment for streamlined detection and whole-genome sequencing of HCV and other highly diverse pathogens.","type":"article-journal","volume":"4"},"uris":["http://www.mendeley.com/documents/?uuid=dd3d318a-25c8-4628-a7ce-a5a62683facf"]},{"id":"ITEM-2","itemData":{"DOI":"10.1128/JCM.01052-16","ISSN":"1098660X","PMID":"27487952","abstract":"Norovirus full-genome sequencing is challenging due to sequence heterogeneity among genomes. Previous methods have relied on PCR amplification, which is problematic due to primer design, and transcriptome sequencing (RNA-Seq), which nonspecifically sequences all RNA, including host and bacterial RNA, in stool specimens. Target enrichment uses a panel of custom-designed 120-mer RNA baits that are complementary to all publicly available norovirus sequences, with multiple baits targeting each position of the genome, which overcomes the challenge of primer design. Norovirus genomes are enriched from stool RNA extracts to minimize the sequencing of nontarget RNA. SureSelect target enrichment and Illumina sequencing were used to sequence full genomes from 507 norovirus-positive stool samples with reverse transcription-real-time PCR cycle threshold (CT) values of 10 to 43. Sequencing on an Illumina MiSeq system in batches of 48 generated, on average, 81% on-target reads per sample and 100% genome coverage with &gt;12,000-fold read depth. Samples included genotypes GI.1, GI.2, GI.3, GI.6, GI.7, GII.1, GII.2, GII.3, GII.4, GII.5, GII.6, GII.7, GII.13, GII.14, and GII.17. When outliers were accounted for, we generated &gt;80% genome coverage for all positive samples, regardless of CT values. A total of 164 samples were tested in parallel with conventional PCR genotyping of the capsid shell domain; 164/164 samples were successfully sequenced, compared to 158/164 samples that were amplified by PCR. Four of the samples that failed capsid PCR analysis had low titers, which suggests that target enrichment is more sensitive than gel-based PCR. Two samples failed PCR due to primer mismatches; target enrichment uses multiple baits targeting each position, thus accommodating sequence heterogeneity among norovirus genomes.","author":[{"dropping-particle":"","family":"Brown","given":"Julianne R.","non-dropping-particle":"","parse-names":false,"suffix":""},{"dropping-particle":"","family":"Roy","given":"Sunando","non-dropping-particle":"","parse-names":false,"suffix":""},{"dropping-particle":"","family":"Ruis","given":"Christopher","non-dropping-particle":"","parse-names":false,"suffix":""},{"dropping-particle":"","family":"Yara Romero","given":"Erika","non-dropping-particle":"","parse-names":false,"suffix":""},{"dropping-particle":"","family":"Shah","given":"Divya","non-dropping-particle":"","parse-names":false,"suffix":""},{"dropping-particle":"","family":"Williams","given":"Rachel","non-dropping-particle":"","parse-names":false,"suffix":""},{"dropping-particle":"","family":"Breuer","given":"Judy","non-dropping-particle":"","parse-names":false,"suffix":""}],"container-title":"Journal of Clinical Microbiology","id":"ITEM-2","issue":"10","issued":{"date-parts":[["2016","10","1"]]},"page":"2530-2537","publisher":"American Society for Microbiology","title":"Norovirus whole-genome sequencing by SureSelect target enrichment: A robust and sensitive method","type":"article-journal","volume":"54"},"uris":["http://www.mendeley.com/documents/?uuid=8de2a147-97d6-370a-8aaa-7f0d315fcaa8"]},{"id":"ITEM-3","itemData":{"DOI":"10.3389/FMICB.2018.02150","ISSN":"1664-302X","PMID":"30271393","abstract":"Background: Global surveillance of viral sequence diversity is needed to keep pace with the constant evolution of HIV. Recent next generation sequencing (NGS) methods have realized the goal of sequencing circulating virus directly from patient specimens. Yet, a simple, universal approach that maximizes sensitivity and sequencing capacity remains elusive. Here we present a novel HIV enrichment strategy to yield near complete genomes from low viral load specimens. Methodology: A non-redundant biotin-labeled probe set (HIV-xGen; n = 652) was synthesized to tile all HIV-1 (groups M, N, O, and P) and HIV-2 (A and B) strains. Illumina Nextera barcoded libraries of either gene-specific or randomly primed cDNA derived from infected plasma were hybridized to probes in a single pool and unbound sequences were washed away. Captured viral cDNA was amplified by Illumina adaptor primers, sequenced on a MiSeq, and NGS reads were demultiplexed for alignment with CLC Bio software. Results: HIV-xGen probes selectively captured and amplified reads spanning the entirety of the HIV phylogenetic tree. HIV sequences clearly present in unenriched libraries of specimens but previously not observed due to high host background levels, insufficient sequencing depth or the extent of multiplexing, were now enriched by &gt;1, 000-fold. Thus, xGen selection not only substantially increased the depth of existing sequence, but also extended overall genome coverage by an average of 40%. We characterized 50 new, diverse HIV strains from clinical specimens and demonstrated a viral load cutoff of approximately log 3.5 copies/ml for full length coverage. Genome coverage was &lt;20% for 5/10 samples with viral loads &lt;log 3.5 copies/ml and &gt;90% for 35/40 samples with higher viral loads. Conclusions: Characterization of &gt;20 complete genomes at a time is now possible from a single probe hybridization and MiSeq run. With the versatility to capture all HIV strains and the sensitivity to detect low titer specimens, HIV-xGen will serve as an important tool for monitoring HIV sequence diversity.","author":[{"dropping-particle":"","family":"Yamaguchi","given":"Julie","non-dropping-particle":"","parse-names":false,"suffix":""},{"dropping-particle":"","family":"Olivo","given":"Ana","non-dropping-particle":"","parse-names":false,"suffix":""},{"dropping-particle":"","family":"Laeyendecker","given":"Oliver","non-dropping-particle":"","parse-names":false,"suffix":""},{"dropping-particle":"","family":"Forberg","given":"Kenn","non-dropping-particle":"","parse-names":false,"suffix":""},{"dropping-particle":"","family":"Ndembi","given":"Nicaise","non-dropping-particle":"","parse-names":false,"suffix":""},{"dropping-particle":"","family":"Mbanya","given":"Dora","non-dropping-particle":"","parse-names":false,"suffix":""},{"dropping-particle":"","family":"Kaptue","given":"Lazare","non-dropping-particle":"","parse-names":false,"suffix":""},{"dropping-particle":"","family":"Quinn","given":"Thomas C.","non-dropping-particle":"","parse-names":false,"suffix":""},{"dropping-particle":"","family":"Cloherty","given":"Gavin A.","non-dropping-particle":"","parse-names":false,"suffix":""},{"dropping-particle":"","family":"Rodgers","given":"Mary A.","non-dropping-particle":"","parse-names":false,"suffix":""},{"dropping-particle":"","family":"Berg","given":"Michael G.","non-dropping-particle":"","parse-names":false,"suffix":""}],"container-title":"Frontiers in microbiology","id":"ITEM-3","issue":"SEP","issued":{"date-parts":[["2018","9","13"]]},"publisher":"Front Microbiol","title":"Universal Target Capture of HIV Sequences From NGS Libraries","type":"article-journal","volume":"9"},"uris":["http://www.mendeley.com/documents/?uuid=bd0990aa-cc0a-39ff-8534-2a06e2d84fd9"]}],"mendeley":{"formattedCitation":"[4,6,7]","plainTextFormattedCitation":"[4,6,7]","previouslyFormattedCitation":"[66,165,167]"},"properties":{"noteIndex":0},"schema":"https://github.com/citation-style-language/schema/raw/master/csl-citation.json"}</w:instrText>
      </w:r>
      <w:r>
        <w:fldChar w:fldCharType="separate"/>
      </w:r>
      <w:r w:rsidR="00B94BFB" w:rsidRPr="00B94BFB">
        <w:rPr>
          <w:noProof/>
        </w:rPr>
        <w:t>[4,6,7]</w:t>
      </w:r>
      <w:r>
        <w:fldChar w:fldCharType="end"/>
      </w:r>
      <w:r>
        <w:t xml:space="preserve">, but to characterize entire </w:t>
      </w:r>
      <w:proofErr w:type="spellStart"/>
      <w:r>
        <w:t>viromes</w:t>
      </w:r>
      <w:proofErr w:type="spellEnd"/>
      <w:r>
        <w:t xml:space="preserve"> from complex samples </w:t>
      </w:r>
      <w:r>
        <w:fldChar w:fldCharType="begin" w:fldLock="1"/>
      </w:r>
      <w:r w:rsidR="00B94BFB">
        <w:instrText>ADDIN CSL_CITATION {"citationItems":[{"id":"ITEM-1","itemData":{"DOI":"10.1101/GR.191049.115","ISSN":"1549-5469","PMID":"26395152","abstract":"Metagenomic shotgun sequencing (MSS) is an important tool for characterizing viral populations. It is culture independent, requires no a priori knowledge of the viruses in the sample, and may provide useful genomic information. However, MSS can lack sensitivity and may yield insufficient data for detailed analysis. We have created a targeted sequence capture panel, ViroCap, designed to enrich nucleic acid from DNA and RNA viruses from 34 families that infect vertebrate hosts. A computational approach condensed ~1 billion bp of viral reference sequence into &lt;200 million bp of unique, representative sequence suitable for targeted sequence capture. We compared the effectiveness of detecting viruses in standard MSS versus MSS following targeted sequence capture. First, we analyzed two sets of samples, one derived from samples submitted to a diagnostic virology laboratory and one derived from samples collected in a study of fever in children. We detected 14 and 18 viruses in the two sets, comprising 19 genera from 10 families, with dramatic enhancement of genome representation following capture enrichment. The median fold-increases in percentage viral reads post-capture were 674 and 296. Median breadth of coverage increased from 2.1% to 83.2% post-capture in the first set and from 2.0% to 75.6% in the second set. Next, we analyzed samples containing a set of diverse anellovirus sequences and demonstrated that ViroCap could be used to detect viral sequences with up to 58% variation from the references used to select capture probes. ViroCap substantially enhances MSS for a comprehensive set of viruses and has utility for research and clinical applications.","author":[{"dropping-particle":"","family":"Wylie","given":"Todd N.","non-dropping-particle":"","parse-names":false,"suffix":""},{"dropping-particle":"","family":"Wylie","given":"Kristine M.","non-dropping-particle":"","parse-names":false,"suffix":""},{"dropping-particle":"","family":"Herter","given":"Brandi N.","non-dropping-particle":"","parse-names":false,"suffix":""},{"dropping-particle":"","family":"Storch","given":"Gregory A.","non-dropping-particle":"","parse-names":false,"suffix":""}],"container-title":"Genome research","id":"ITEM-1","issue":"12","issued":{"date-parts":[["2015","12","1"]]},"page":"1910-1920","publisher":"Genome Res","title":"Enhanced virome sequencing using targeted sequence capture","type":"article-journal","volume":"25"},"uris":["http://www.mendeley.com/documents/?uuid=598ee588-a144-3530-8e2b-190b2adc1a59"]},{"id":"ITEM-2","itemData":{"DOI":"10.1186/S12864-019-5543-2","ISSN":"1471-2164","PMID":"30808306","abstract":"Background: Sequencing-based detection and characterization of viruses in complex samples can suffer from lack of sensitivity due to a variety of factors including, but not limited to, low titer, small genome size, and contribution of host or environmental nucleic acids. Hybridization-based target enrichment is one potential method for increasing the sensitivity of viral detection via high-throughput sequencing. Results: This study expands upon two previously developed panels of virus enrichment probes (for filoviruses and for respiratory viruses) to include other viruses of biodefense and/or biosurveillance concern to the U.S. Department of Defense and various international public health agencies. The newly expanded and combined panel is tested using carefully constructed synthetic metagenomic samples that contain clinically relevant amounts of viral genetic material. Target enrichment results in a dramatic increase in sensitivity for virus detection as compared to shotgun sequencing, yielding full, deeply covered viral genomes from materials with Ct values suggesting that amplicon sequencing would be likely to fail. Increased pooling to improve cost- and time-effectiveness does not negatively affect the ability to obtain full-length viral genomes, even in the case of co-infections, although as expected, it does decrease depth of coverage. Conclusions: Hybridization-based target enrichment is an effective solution to obtain full-length viral genomes for samples from which virus detection would fail via unbiased, shotgun sequencing or even via amplicon sequencing. As the development and testing of probe sets for viral target enrichment expands and continues, the application of this technique, in conjunction with deeper pooling strategies, could make high-throughput sequencing more economical for routine use in biosurveillance, biodefense and outbreak investigations.","author":[{"dropping-particle":"","family":"Paskey","given":"Adrian C.","non-dropping-particle":"","parse-names":false,"suffix":""},{"dropping-particle":"","family":"Frey","given":"Kenneth G.","non-dropping-particle":"","parse-names":false,"suffix":""},{"dropping-particle":"","family":"Schroth","given":"Gary","non-dropping-particle":"","parse-names":false,"suffix":""},{"dropping-particle":"","family":"Gross","given":"Stephen","non-dropping-particle":"","parse-names":false,"suffix":""},{"dropping-particle":"","family":"Hamilton","given":"Theron","non-dropping-particle":"","parse-names":false,"suffix":""},{"dropping-particle":"","family":"Bishop-Lilly","given":"Kimberly A.","non-dropping-particle":"","parse-names":false,"suffix":""}],"container-title":"BMC genomics","id":"ITEM-2","issue":"1","issued":{"date-parts":[["2019","2","26"]]},"publisher":"BMC Genomics","title":"Enrichment post-library preparation enhances the sensitivity of high-throughput sequencing-based detection and characterization of viruses from complex samples","type":"article-journal","volume":"20"},"uris":["http://www.mendeley.com/documents/?uuid=b9bd6d43-695e-302c-9b94-6f7772e678d9"]},{"id":"ITEM-3","itemData":{"DOI":"10.1186/S40168-020-00973-Z","ISSN":"2049-2618","PMID":"33610182","abstract":"Background: The detection of pathogens in clinical and environmental samples using high-throughput sequencing (HTS) is often hampered by large amounts of background information, which is especially true for viruses with small genomes. Enormous sequencing depth can be necessary to compile sufficient information for identification of a certain pathogen. Generic HTS combining with in-solution capture enrichment can markedly increase the sensitivity for virus detection in complex diagnostic samples. Methods: A virus panel based on the principle of biotinylated RNA baits was developed for specific capture enrichment of epizootic and zoonotic viruses (VirBaits). The VirBaits set was supplemented by a SARS-CoV-2 predesigned bait set for testing recent SARS-CoV-2-positive samples. Libraries generated from complex samples were sequenced via generic HTS (without enrichment) and afterwards enriched with the VirBaits set. For validation, an internal proficiency test for emerging epizootic and zoonotic viruses (African swine fever virus, Ebolavirus, Marburgvirus, Nipah henipavirus, Rift Valley fever virus) was conducted. Results: The VirBaits set consists of 177,471 RNA baits (80-mer) based on about 18,800 complete viral genomes targeting 35 epizootic and zoonotic viruses. In all tested samples, viruses with both DNA and RNA genomes were clearly enriched ranging from about 10-fold to 10,000-fold for viruses including distantly related viruses with at least 72% overall identity to viruses represented in the bait set. Viruses showing a lower overall identity (38% and 46%) to them were not enriched but could nonetheless be detected based on capturing conserved genome regions. The internal proficiency test supports the improved virus detection using the combination of HTS plus targeted enrichment but also points to the risk of cross-contamination between samples. Conclusions: The VirBaits approach showed a high diagnostic performance, also for distantly related viruses. The bait set is modular and expandable according to the favored diagnostics, health sector, or research question. The risk of cross-contamination needs to be taken into consideration. The application of the RNA-baits principle turned out to be user friendly, and even non-experts can easily use the VirBaits workflow. The rapid extension of the established VirBaits set adapted to actual outbreak events is possible as shown for SARS-CoV-2. [MediaObject not available: see fulltext.]","author":[{"dropping-particle":"","family":"Wylezich","given":"Claudia","non-dropping-particle":"","parse-names":false,"suffix":""},{"dropping-particle":"","family":"Calvelage","given":"Sten","non-dropping-particle":"","parse-names":false,"suffix":""},{"dropping-particle":"","family":"Schlottau","given":"Kore","non-dropping-particle":"","parse-names":false,"suffix":""},{"dropping-particle":"","family":"Ziegler","given":"Ute","non-dropping-particle":"","parse-names":false,"suffix":""},{"dropping-particle":"","family":"Pohlmann","given":"Anne","non-dropping-particle":"","parse-names":false,"suffix":""},{"dropping-particle":"","family":"Höper","given":"Dirk","non-dropping-particle":"","parse-names":false,"suffix":""},{"dropping-particle":"","family":"Beer","given":"Martin","non-dropping-particle":"","parse-names":false,"suffix":""}],"container-title":"Microbiome","id":"ITEM-3","issue":"1","issued":{"date-parts":[["2021","12","1"]]},"publisher":"Microbiome","title":"Next-generation diagnostics: virus capture facilitates a sensitive viral diagnosis for epizootic and zoonotic pathogens including SARS-CoV-2","type":"article-journal","volume":"9"},"uris":["http://www.mendeley.com/documents/?uuid=3f78aeb8-cf99-3f94-bdc8-a07a7d3ffa38"]}],"mendeley":{"formattedCitation":"[8–10]","plainTextFormattedCitation":"[8–10]","previouslyFormattedCitation":"[168–170]"},"properties":{"noteIndex":0},"schema":"https://github.com/citation-style-language/schema/raw/master/csl-citation.json"}</w:instrText>
      </w:r>
      <w:r>
        <w:fldChar w:fldCharType="separate"/>
      </w:r>
      <w:r w:rsidR="00B94BFB" w:rsidRPr="00B94BFB">
        <w:rPr>
          <w:noProof/>
        </w:rPr>
        <w:t>[8–10]</w:t>
      </w:r>
      <w:r>
        <w:fldChar w:fldCharType="end"/>
      </w:r>
      <w:r>
        <w:t>.</w:t>
      </w:r>
    </w:p>
    <w:p w14:paraId="0008ED13" w14:textId="0200A31C" w:rsidR="00351F39" w:rsidRDefault="00351F39" w:rsidP="00351F39">
      <w:r>
        <w:t>Many probe-panels are designed simply by slicing reference sequences into 80-120 k-</w:t>
      </w:r>
      <w:proofErr w:type="spellStart"/>
      <w:r>
        <w:t>mers</w:t>
      </w:r>
      <w:proofErr w:type="spellEnd"/>
      <w:r>
        <w:t xml:space="preserve"> and creating multiple sets of overlapping, “tiled” probes. For datasets of considerable size, this relatively naïve approach will inevitably result in a redundancy in probes covering equivalent, conserved </w:t>
      </w:r>
      <w:proofErr w:type="gramStart"/>
      <w:r>
        <w:t>regions</w:t>
      </w:r>
      <w:proofErr w:type="gramEnd"/>
      <w:r>
        <w:t xml:space="preserve"> and prohibitively expensive panels of probes due to their sheer size. Different strategies have been employed to reduce the size of probe panels ranging from trimming the input sequences down to a dense but diverse set of references </w:t>
      </w:r>
      <w:r>
        <w:fldChar w:fldCharType="begin" w:fldLock="1"/>
      </w:r>
      <w:r w:rsidR="00B94BFB">
        <w:instrText>ADDIN CSL_CITATION {"citationItems":[{"id":"ITEM-1","itemData":{"DOI":"10.1016/J.VIROL.2018.08.021","ISSN":"10960341","PMID":"30212665","abstract":"Influenza virus infections in humans and animals are major public health concerns. In the current study, a set of universal influenza enrichment probes was developed to increase the sensitivity of sequence-based virus detection and characterization for all influenza viruses. This universal influenza enrichment probe set contains 46,953 120nt RNA biotin-labeled probes designed based on all available influenza viral sequences and it can be used to enrich for influenza sequences without prior knowledge of type or subtype. Marked enrichment was demonstrated in influenza A/H1N1, influenza B, and H1-to-H16 hemagglutinin plasmids spiked into human DNA and in cultured influenza A/H2N1 virus. Furthermore, enrichment effects and mixed influenza A virus infections were revealed in wild bird cloacal swab samples. Therefore, this universal influenza virus enrichment probe system can capture and enrich influenza viral sequences selectively and effectively in different samples, especially ones with degraded RNA or containing low amount of influenza RNA.","author":[{"dropping-particle":"","family":"Xiao","given":"Yongli","non-dropping-particle":"","parse-names":false,"suffix":""},{"dropping-particle":"","family":"Nolting","given":"Jacqueline M.","non-dropping-particle":"","parse-names":false,"suffix":""},{"dropping-particle":"","family":"Sheng","given":"Zong Mei","non-dropping-particle":"","parse-names":false,"suffix":""},{"dropping-particle":"","family":"Bristol","given":"Tyler","non-dropping-particle":"","parse-names":false,"suffix":""},{"dropping-particle":"","family":"Qi","given":"Li","non-dropping-particle":"","parse-names":false,"suffix":""},{"dropping-particle":"","family":"Bowman","given":"Andrew S.","non-dropping-particle":"","parse-names":false,"suffix":""},{"dropping-particle":"","family":"Taubenberger","given":"Jeffery K.","non-dropping-particle":"","parse-names":false,"suffix":""}],"container-title":"Virology","id":"ITEM-1","issued":{"date-parts":[["2018","11","1"]]},"page":"182","publisher":"NIH Public Access","title":"Design and validation of a universal influenza virus enrichment probe set and its utility in deep sequence analysis of primary cloacal swab surveillance samples of wild birds","type":"article-journal","volume":"524"},"uris":["http://www.mendeley.com/documents/?uuid=07cddf40-880c-3114-9e97-02149848b8f0"]}],"mendeley":{"formattedCitation":"[11]","plainTextFormattedCitation":"[11]","previouslyFormattedCitation":"[171]"},"properties":{"noteIndex":0},"schema":"https://github.com/citation-style-language/schema/raw/master/csl-citation.json"}</w:instrText>
      </w:r>
      <w:r>
        <w:fldChar w:fldCharType="separate"/>
      </w:r>
      <w:r w:rsidR="00B94BFB" w:rsidRPr="00B94BFB">
        <w:rPr>
          <w:noProof/>
        </w:rPr>
        <w:t>[11]</w:t>
      </w:r>
      <w:r>
        <w:fldChar w:fldCharType="end"/>
      </w:r>
      <w:r>
        <w:t xml:space="preserve">, using consensus sequences of input references as input </w:t>
      </w:r>
      <w:r>
        <w:fldChar w:fldCharType="begin" w:fldLock="1"/>
      </w:r>
      <w:r w:rsidR="00B94BFB">
        <w:instrText>ADDIN CSL_CITATION {"citationItems":[{"id":"ITEM-1","itemData":{"DOI":"10.1101/GR.226316.117/-/DC1","ISSN":"15495469","PMID":"29703817","abstract":"Next generation sequencing (NGS) technologies have revolutionized the genomics field and are becoming more commonplace for identification of human infectious diseases. However, due to the low abundance of viral nucleic acids (NAs) in relation to host, viral identification using direct NGS technologies often lacks sufficient sensitivity. Here, we describe an approach based on two complementary enrichment strategies that significantly improves the sensitivity of NGS-based virus identification. To start, we developed two sets of DNA probes to enrich virus NAs associated with respiratory diseases. The first set of probes spans the genomes, allowing for identification of known viruses and full genome sequencing, while the second set targets regions conserved among viral families or genera, providing the ability to detect both known and potentially novel members of those virus groups. Efficiency of enrichment was assessed by NGS testing reference virus and clinical samples with known infection. We show significant improvement in viral identification using enriched NGS compared to unenriched NGS. Without enrichment, we observed an average of 0.3% targeted viral reads per sample. However, after enrichment, 50%–99% of the reads per sample were the targeted viral reads for both the reference isolates and clinical specimens using both probe sets. Importantly, dramatic improvements on genome coverage were also observed following virus-specific probe enrichment. The methods described here provide improved sensitivity for virus identification by NGS, allowing for a more comprehensive analysis of disease etiology.","author":[{"dropping-particle":"","family":"O’Flaherty","given":"Brigid M.","non-dropping-particle":"","parse-names":false,"suffix":""},{"dropping-particle":"","family":"Li","given":"Yan","non-dropping-particle":"","parse-names":false,"suffix":""},{"dropping-particle":"","family":"Tao","given":"Ying","non-dropping-particle":"","parse-names":false,"suffix":""},{"dropping-particle":"","family":"Paden","given":"Clinton R.","non-dropping-particle":"","parse-names":false,"suffix":""},{"dropping-particle":"","family":"Queen","given":"Krista","non-dropping-particle":"","parse-names":false,"suffix":""},{"dropping-particle":"","family":"Zhang","given":"Jing","non-dropping-particle":"","parse-names":false,"suffix":""},{"dropping-particle":"","family":"Dinwiddie","given":"Darrell L.","non-dropping-particle":"","parse-names":false,"suffix":""},{"dropping-particle":"","family":"Gross","given":"Stephen M.","non-dropping-particle":"","parse-names":false,"suffix":""},{"dropping-particle":"","family":"Schroth","given":"Gary P.","non-dropping-particle":"","parse-names":false,"suffix":""},{"dropping-particle":"","family":"Tong","given":"Suxiang","non-dropping-particle":"","parse-names":false,"suffix":""}],"container-title":"Genome Research","id":"ITEM-1","issue":"6","issued":{"date-parts":[["2018","6","1"]]},"page":"869-877","publisher":"Cold Spring Harbor Laboratory Press","title":"Comprehensive viral enrichment enables sensitive respiratory virus genomic identification and analysis by next generation sequencing","type":"article-journal","volume":"28"},"uris":["http://www.mendeley.com/documents/?uuid=e9a1e5ca-3454-4b66-b873-49588b973a81"]}],"mendeley":{"formattedCitation":"[12]","plainTextFormattedCitation":"[12]","previouslyFormattedCitation":"[172]"},"properties":{"noteIndex":0},"schema":"https://github.com/citation-style-language/schema/raw/master/csl-citation.json"}</w:instrText>
      </w:r>
      <w:r>
        <w:fldChar w:fldCharType="separate"/>
      </w:r>
      <w:r w:rsidR="00B94BFB" w:rsidRPr="00B94BFB">
        <w:rPr>
          <w:noProof/>
        </w:rPr>
        <w:t>[12]</w:t>
      </w:r>
      <w:r>
        <w:fldChar w:fldCharType="end"/>
      </w:r>
      <w:r>
        <w:t xml:space="preserve">, and downsizing large panels by programmatically removing probes at a certain threshold of redundancy </w:t>
      </w:r>
      <w:r>
        <w:fldChar w:fldCharType="begin" w:fldLock="1"/>
      </w:r>
      <w:r w:rsidR="00B94BFB">
        <w:instrText>ADDIN CSL_CITATION {"citationItems":[{"id":"ITEM-1","itemData":{"DOI":"10.1101/GR.191049.115","ISSN":"1549-5469","PMID":"26395152","abstract":"Metagenomic shotgun sequencing (MSS) is an important tool for characterizing viral populations. It is culture independent, requires no a priori knowledge of the viruses in the sample, and may provide useful genomic information. However, MSS can lack sensitivity and may yield insufficient data for detailed analysis. We have created a targeted sequence capture panel, ViroCap, designed to enrich nucleic acid from DNA and RNA viruses from 34 families that infect vertebrate hosts. A computational approach condensed ~1 billion bp of viral reference sequence into &lt;200 million bp of unique, representative sequence suitable for targeted sequence capture. We compared the effectiveness of detecting viruses in standard MSS versus MSS following targeted sequence capture. First, we analyzed two sets of samples, one derived from samples submitted to a diagnostic virology laboratory and one derived from samples collected in a study of fever in children. We detected 14 and 18 viruses in the two sets, comprising 19 genera from 10 families, with dramatic enhancement of genome representation following capture enrichment. The median fold-increases in percentage viral reads post-capture were 674 and 296. Median breadth of coverage increased from 2.1% to 83.2% post-capture in the first set and from 2.0% to 75.6% in the second set. Next, we analyzed samples containing a set of diverse anellovirus sequences and demonstrated that ViroCap could be used to detect viral sequences with up to 58% variation from the references used to select capture probes. ViroCap substantially enhances MSS for a comprehensive set of viruses and has utility for research and clinical applications.","author":[{"dropping-particle":"","family":"Wylie","given":"Todd N.","non-dropping-particle":"","parse-names":false,"suffix":""},{"dropping-particle":"","family":"Wylie","given":"Kristine M.","non-dropping-particle":"","parse-names":false,"suffix":""},{"dropping-particle":"","family":"Herter","given":"Brandi N.","non-dropping-particle":"","parse-names":false,"suffix":""},{"dropping-particle":"","family":"Storch","given":"Gregory A.","non-dropping-particle":"","parse-names":false,"suffix":""}],"container-title":"Genome research","id":"ITEM-1","issue":"12","issued":{"date-parts":[["2015","12","1"]]},"page":"1910-1920","publisher":"Genome Res","title":"Enhanced virome sequencing using targeted sequence capture","type":"article-journal","volume":"25"},"uris":["http://www.mendeley.com/documents/?uuid=598ee588-a144-3530-8e2b-190b2adc1a59"]}],"mendeley":{"formattedCitation":"[8]","plainTextFormattedCitation":"[8]","previouslyFormattedCitation":"[168]"},"properties":{"noteIndex":0},"schema":"https://github.com/citation-style-language/schema/raw/master/csl-citation.json"}</w:instrText>
      </w:r>
      <w:r>
        <w:fldChar w:fldCharType="separate"/>
      </w:r>
      <w:r w:rsidR="00B94BFB" w:rsidRPr="00B94BFB">
        <w:rPr>
          <w:noProof/>
        </w:rPr>
        <w:t>[8]</w:t>
      </w:r>
      <w:r>
        <w:fldChar w:fldCharType="end"/>
      </w:r>
      <w:r>
        <w:t xml:space="preserve">. </w:t>
      </w:r>
    </w:p>
    <w:p w14:paraId="717B94D1" w14:textId="2350EE44" w:rsidR="00351F39" w:rsidRDefault="00351F39" w:rsidP="00351F39">
      <w:pPr>
        <w:rPr>
          <w:i/>
          <w:iCs/>
        </w:rPr>
      </w:pPr>
      <w:r>
        <w:t xml:space="preserve">Many of the existing tools for probe design are purpose-built for use with eukaryotic or multiple species, or specific assays such as fluorescence in situ hybridization or restriction-site associated DNA sequencing </w:t>
      </w:r>
      <w:r>
        <w:fldChar w:fldCharType="begin" w:fldLock="1"/>
      </w:r>
      <w:r w:rsidR="00B94BFB">
        <w:instrText>ADDIN CSL_CITATION {"citationItems":[{"id":"ITEM-1","itemData":{"DOI":"10.1093/BIOINFORMATICS/BTY548","ISSN":"1367-4811","PMID":"29961853","abstract":"Motivation: It is a non-trivial task to identify and design capture probes (‘baits’) for the diverse array of targeted-enrichment methods now available (e.g. ultra-conserved elements, anchored hybrid enrichment, RAD-capture). This often involves parsing large genomic alignments, followed by multiple steps of curating candidate genomic regions to optimize targeted information content (e.g. genetic variation) and to minimize potential probe dimerization and non-target enrichment. Results: In this context, we developed MrBait, a user-friendly, generalized software pipeline for identification, design and optimization of targeted-enrichment probes across a range of target-capture paradigms. MrBait is an open-source codebase that leverages native parallelization capabilities in Python and mitigates memory usage via a relational-database back-end. Numerous filtering methods allow comprehensive optimization of designed probes, including built-in functionality that employs BLAST, similarity-based clustering and a graph-based algorithm that ‘rescues’ failed probes.","author":[{"dropping-particle":"","family":"Chafin","given":"Tyler K.","non-dropping-particle":"","parse-names":false,"suffix":""},{"dropping-particle":"","family":"Douglas","given":"Marlis R.","non-dropping-particle":"","parse-names":false,"suffix":""},{"dropping-particle":"","family":"Douglas","given":"Michael E.","non-dropping-particle":"","parse-names":false,"suffix":""}],"container-title":"Bioinformatics (Oxford, England)","id":"ITEM-1","issue":"24","issued":{"date-parts":[["2018","12","15"]]},"page":"4293-4296","publisher":"Bioinformatics","title":"MrBait: universal identification and design of targeted-enrichment capture probes","type":"article-journal","volume":"34"},"uris":["http://www.mendeley.com/documents/?uuid=5efdb2ac-a39e-3a6d-bd53-7d319c93ecda"]},{"id":"ITEM-2","itemData":{"DOI":"10.1073/PNAS.1714530115/SUPPL_FILE/PNAS.1714530115.SD02.PDF","ISSN":"10916490","PMID":"29463736","abstract":"Oligonucleotide (oligo)-based FISH has emerged as an important tool for the study of chromosome organization and gene expression and has been empowered by the commercial availability of highly complex pools of oligos. However, a dedicated bioinformatic design utility has yet to be created specifically for the purpose of identifying optimal oligo FISH probe sequences on the genome-wide scale. Here, we introduce OligoMiner, a rapid and robust computational pipeline for the genome-scale design of oligo FISH probes that affords the scientist exact control over the parameters of each probe. Our streamlined method uses standard bioinformatic file formats, allowing users to seamlessly integrate new and existing utilities into the pipeline as desired, and introduces a method for evaluating the specificity of each probe molecule that connects simulated hybridization energetics to rapidly generated sequence alignments using supervised machine learning. We demonstrate the scalability of our approach by performing genome-scale probe discovery in numerous model organism genomes and showcase the performance of the resulting probes with diffraction-limited and single-molecule superresolution imaging of chromosomal and RNA targets. We anticipate that this pipeline will make the FISH probe design process much more accessible and will more broadly facilitate the design of pools of hybridization probes for a variety of applications.","author":[{"dropping-particle":"","family":"Beliveau","given":"Brian J.","non-dropping-particle":"","parse-names":false,"suffix":""},{"dropping-particle":"","family":"Kishi","given":"Jocelyn Y.","non-dropping-particle":"","parse-names":false,"suffix":""},{"dropping-particle":"","family":"Nir","given":"Guy","non-dropping-particle":"","parse-names":false,"suffix":""},{"dropping-particle":"","family":"Sasaki","given":"Hiroshi M.","non-dropping-particle":"","parse-names":false,"suffix":""},{"dropping-particle":"","family":"Saka","given":"Sinem K.","non-dropping-particle":"","parse-names":false,"suffix":""},{"dropping-particle":"","family":"Nguyen","given":"Son C.","non-dropping-particle":"","parse-names":false,"suffix":""},{"dropping-particle":"","family":"Wu","given":"Chao ting","non-dropping-particle":"","parse-names":false,"suffix":""},{"dropping-particle":"","family":"Yin","given":"Peng","non-dropping-particle":"","parse-names":false,"suffix":""}],"container-title":"Proceedings of the National Academy of Sciences of the United States of America","id":"ITEM-2","issue":"10","issued":{"date-parts":[["2018","3","6"]]},"page":"E2183-E2192","publisher":"National Academy of Sciences","title":"OligoMiner provides a rapid, flexible environment for the design of genome-scale oligonucleotide in situ hybridization probes","type":"article-journal","volume":"115"},"uris":["http://www.mendeley.com/documents/?uuid=9a586c42-09d7-37f2-ad32-84f06de47ade"]},{"id":"ITEM-3","itemData":{"DOI":"10.1093/MOLBEV/MSW056","ISSN":"0737-4038","PMID":"27009209","abstract":"Target DNA enrichment combined with high-throughput sequencing technologies is a powerful approach to probing a large number of loci in genomes of interest. However, software algorithms that explicitly consider nucleotide sequence information of target loci in multiple reference species for optimizing design of target enrichment baits to be applicable across a wide range of species have not been developed. Here we present an algorithm that infers target DNA enrichment baits from multiple nucleotide sequence alignments. By applying clustering methods and the combinatorial 1-center sequence optimization to bait design, we are able to minimize the total number of baits required to efficiently probe target loci in multiple species. Consequently, more loci can be probed across species with a given number of baits. Using transcript sequences of 24 apoid wasps (Hymenoptera: Crabronidae, Sphecidae) from the 1KITE project and the gene models of Nasonia vitripennis, we inferred 57,650, 120-bp-long baits for capturing 378 coding sequence sections of 282 genes in apoid wasps. Illumina reduced-representation library sequencing confirmed successful enrichment of the target DNA when applying these baits to DNA of various apoid wasps. The designed baits furthermore enriched a major fraction of the target DNA in distantly related Hymenoptera, such as Formicidae and Chalcidoidea, highlighting the baits’ broad taxonomic applicability. The availability of baits with broad taxonomic applicability is of major interest in numerous disciplines, ranging from phylogenetics to biodiversity monitoring. We implemented our new approach in a software package, called BaitFisher, which is open source and freely available at https://github.com/cmayer/BaitFisher-package.git.","author":[{"dropping-particle":"","family":"Mayer","given":"Christoph","non-dropping-particle":"","parse-names":false,"suffix":""},{"dropping-particle":"","family":"Sann","given":"Manuela","non-dropping-particle":"","parse-names":false,"suffix":""},{"dropping-particle":"","family":"Donath","given":"Alexander","non-dropping-particle":"","parse-names":false,"suffix":""},{"dropping-particle":"","family":"Meixner","given":"Martin","non-dropping-particle":"","parse-names":false,"suffix":""},{"dropping-particle":"","family":"Podsiadlowski","given":"Lars","non-dropping-particle":"","parse-names":false,"suffix":""},{"dropping-particle":"","family":"Peters","given":"Ralph S.","non-dropping-particle":"","parse-names":false,"suffix":""},{"dropping-particle":"","family":"Petersen","given":"Malte","non-dropping-particle":"","parse-names":false,"suffix":""},{"dropping-particle":"","family":"Meusemann","given":"Karen","non-dropping-particle":"","parse-names":false,"suffix":""},{"dropping-particle":"","family":"Liere","given":"Karsten","non-dropping-particle":"","parse-names":false,"suffix":""},{"dropping-particle":"","family":"Wagele","given":"Johann Wolfgang","non-dropping-particle":"","parse-names":false,"suffix":""},{"dropping-particle":"","family":"Misof","given":"Bernhard","non-dropping-particle":"","parse-names":false,"suffix":""},{"dropping-particle":"","family":"Bleidorn","given":"Christoph","non-dropping-particle":"","parse-names":false,"suffix":""},{"dropping-particle":"","family":"Ohl","given":"Michael","non-dropping-particle":"","parse-names":false,"suffix":""},{"dropping-particle":"","family":"Niehuis","given":"Oliver","non-dropping-particle":"","parse-names":false,"suffix":""}],"container-title":"Molecular Biology and Evolution","id":"ITEM-3","issue":"7","issued":{"date-parts":[["2016","7","1"]]},"page":"1875-1886","publisher":"Oxford Academic","title":"BaitFisher: A Software Package for Multispecies Target DNA Enrichment Probe Design","type":"article-journal","volume":"33"},"uris":["http://www.mendeley.com/documents/?uuid=6fc435cf-9df8-31e8-9767-aab45bcbb46d"]},{"id":"ITEM-4","itemData":{"DOI":"10.1186/S12859-015-0501-8/FIGURES/7","ISSN":"14712105","PMID":"25880302","abstract":"Background: Massive sequencing of genes from different environments has evolved metagenomics as central to enhancing the understanding of the wide diversity of micro-organisms and their roles in driving ecological processes. Reduced cost and high throughput sequencing has made large-scale projects achievable to a wider group of researchers, though complete metagenome sequencing is still a daunting task in terms of sequencing as well as the downstream bioinformatics analyses. Alternative approaches such as targeted amplicon sequencing requires custom PCR primer generation, and is not scalable to thousands of genes or gene families. Results: In this study, we are presenting a web-based tool called MetCap that circumvents the limitations of amplicon sequencing of multiple genes by designing probes that are suitable for large-scale targeted metagenomics sequencing studies. MetCap provides a novel approach to target thousands of genes and genomic regions that could be used in targeted metagenomics studies. Automatic analysis of user-defined sequences is performed, and probes specifically designed for metagenome studies are generated. To illustrate the advantage of a targeted metagenome approach, we have generated more than 300,000 probes that match more than 400,000 publicly available sequences related to carbon degradation, and used these probes for target sequencing in a soil metagenome study. The results show high enrichment of target genes and a successful capturing of the majority of gene families. MetCap is freely available to users from: http://soilecology.biol.lu.se/metcap/. Conclusion: MetCap is facilitating probe-based target enrichment as an easy and efficient alternative tool compared to complex primer-based enrichment for large-scale investigations of metagenomes. Our results have shown efficient large-scale target enrichment through MetCap-designed probes for a soil metagenome. The web service is suitable for any targeted metagenomics project that aims to study several genes simultaneously. The novel bioinformatics approach taken by the web service will enable researchers in microbial ecology to tap into the vast diversity of microbial communities using targeted metagenomics as a cost-effective alternative to whole metagenome sequencing.","author":[{"dropping-particle":"","family":"Kushwaha","given":"Sandeep K.","non-dropping-particle":"","parse-names":false,"suffix":""},{"dropping-particle":"","family":"Manoharan","given":"Lokeshwaran","non-dropping-particle":"","parse-names":false,"suffix":""},{"dropping-particle":"","family":"Meerupati","given":"Tejashwari","non-dropping-particle":"","parse-names":false,"suffix":""},{"dropping-particle":"","family":"Hedlund","given":"Katarina","non-dropping-particle":"","parse-names":false,"suffix":""},{"dropping-particle":"","family":"Ahrén","given":"Dag","non-dropping-particle":"","parse-names":false,"suffix":""}],"container-title":"BMC Bioinformatics","id":"ITEM-4","issue":"1","issued":{"date-parts":[["2015","2","28"]]},"page":"1-11","publisher":"BioMed Central Ltd.","title":"MetCap: A bioinformatics probe design pipeline for large-scale targeted metagenomics","type":"article-journal","volume":"16"},"uris":["http://www.mendeley.com/documents/?uuid=735569a7-d0fd-3cf4-ae40-5ab0951d6b19"]}],"mendeley":{"formattedCitation":"[13–16]","plainTextFormattedCitation":"[13–16]","previouslyFormattedCitation":"[173–176]"},"properties":{"noteIndex":0},"schema":"https://github.com/citation-style-language/schema/raw/master/csl-citation.json"}</w:instrText>
      </w:r>
      <w:r>
        <w:fldChar w:fldCharType="separate"/>
      </w:r>
      <w:r w:rsidR="00B94BFB" w:rsidRPr="00B94BFB">
        <w:rPr>
          <w:noProof/>
        </w:rPr>
        <w:t>[13–16]</w:t>
      </w:r>
      <w:r>
        <w:fldChar w:fldCharType="end"/>
      </w:r>
      <w:r>
        <w:t xml:space="preserve">. Here, we introduce a new software package for designing small, efficient panels of probes for hepatitis C virus (HCV), but it could be easily adapted for other hypervariable viruses. The tool is highly flexible with </w:t>
      </w:r>
      <w:proofErr w:type="gramStart"/>
      <w:r>
        <w:t>a number of</w:t>
      </w:r>
      <w:proofErr w:type="gramEnd"/>
      <w:r>
        <w:t xml:space="preserve"> optional arguments that can be used to adjust </w:t>
      </w:r>
      <w:proofErr w:type="gramStart"/>
      <w:r>
        <w:t>degree</w:t>
      </w:r>
      <w:proofErr w:type="gramEnd"/>
      <w:r>
        <w:t xml:space="preserve"> of coverage and final probe count.</w:t>
      </w:r>
    </w:p>
    <w:p w14:paraId="2D09087E" w14:textId="77777777" w:rsidR="00351F39" w:rsidRDefault="00351F39" w:rsidP="00351F39">
      <w:pPr>
        <w:pStyle w:val="Heading2"/>
      </w:pPr>
      <w:bookmarkStart w:id="3" w:name="_Toc131691385"/>
      <w:r>
        <w:lastRenderedPageBreak/>
        <w:t>Implementation</w:t>
      </w:r>
      <w:bookmarkEnd w:id="3"/>
    </w:p>
    <w:p w14:paraId="4E97A6E9" w14:textId="77777777" w:rsidR="00351F39" w:rsidRDefault="00351F39" w:rsidP="00351F39">
      <w:r>
        <w:t xml:space="preserve">The tool is launched using a master python script that manages the flow of data from a series of subscripts across three main steps: The cleaning and generation of initial probes, the probe design itself, and a final quality control step. These steps are visualized in Figure 5.1. In summary: the tool will propose a set of probes that cover a set of input references at a certain threshold of similarity by iterating over each genome in sequence and filling gaps of probe-coverage in the references with the corresponding sequences of the input genomes. The pipeline is written in python 3, uses commands sent to a </w:t>
      </w:r>
      <w:proofErr w:type="spellStart"/>
      <w:r>
        <w:t>linux</w:t>
      </w:r>
      <w:proofErr w:type="spellEnd"/>
      <w:r>
        <w:t xml:space="preserve"> shell and requires the following python 3 modules: </w:t>
      </w:r>
      <w:r>
        <w:rPr>
          <w:lang w:val="en-GB"/>
        </w:rPr>
        <w:t>t</w:t>
      </w:r>
      <w:r w:rsidRPr="00B11ED2">
        <w:rPr>
          <w:lang w:val="en-GB"/>
        </w:rPr>
        <w:t xml:space="preserve">ime, datetime, </w:t>
      </w:r>
      <w:proofErr w:type="spellStart"/>
      <w:r w:rsidRPr="00B11ED2">
        <w:rPr>
          <w:lang w:val="en-GB"/>
        </w:rPr>
        <w:t>os</w:t>
      </w:r>
      <w:proofErr w:type="spellEnd"/>
      <w:r w:rsidRPr="00B11ED2">
        <w:rPr>
          <w:lang w:val="en-GB"/>
        </w:rPr>
        <w:t xml:space="preserve">, </w:t>
      </w:r>
      <w:proofErr w:type="spellStart"/>
      <w:r w:rsidRPr="00B11ED2">
        <w:rPr>
          <w:lang w:val="en-GB"/>
        </w:rPr>
        <w:t>argparse</w:t>
      </w:r>
      <w:proofErr w:type="spellEnd"/>
      <w:r w:rsidRPr="00B11ED2">
        <w:rPr>
          <w:lang w:val="en-GB"/>
        </w:rPr>
        <w:t xml:space="preserve">, </w:t>
      </w:r>
      <w:proofErr w:type="spellStart"/>
      <w:r w:rsidRPr="00B11ED2">
        <w:rPr>
          <w:lang w:val="en-GB"/>
        </w:rPr>
        <w:t>Bio.SeqIO</w:t>
      </w:r>
      <w:proofErr w:type="spellEnd"/>
      <w:r w:rsidRPr="00B11ED2">
        <w:rPr>
          <w:lang w:val="en-GB"/>
        </w:rPr>
        <w:t xml:space="preserve">, random, </w:t>
      </w:r>
      <w:proofErr w:type="spellStart"/>
      <w:proofErr w:type="gramStart"/>
      <w:r w:rsidRPr="00B11ED2">
        <w:rPr>
          <w:lang w:val="en-GB"/>
        </w:rPr>
        <w:t>matplotlib.pyplot</w:t>
      </w:r>
      <w:proofErr w:type="spellEnd"/>
      <w:proofErr w:type="gramEnd"/>
      <w:r w:rsidRPr="00B11ED2">
        <w:rPr>
          <w:lang w:val="en-GB"/>
        </w:rPr>
        <w:t xml:space="preserve">, </w:t>
      </w:r>
      <w:proofErr w:type="spellStart"/>
      <w:r w:rsidRPr="00B11ED2">
        <w:rPr>
          <w:lang w:val="en-GB"/>
        </w:rPr>
        <w:t>numpy</w:t>
      </w:r>
      <w:proofErr w:type="spellEnd"/>
      <w:r w:rsidRPr="00B11ED2">
        <w:rPr>
          <w:lang w:val="en-GB"/>
        </w:rPr>
        <w:t>, s</w:t>
      </w:r>
      <w:r>
        <w:rPr>
          <w:lang w:val="en-GB"/>
        </w:rPr>
        <w:t xml:space="preserve">tatistics, subprocess, </w:t>
      </w:r>
      <w:proofErr w:type="spellStart"/>
      <w:r>
        <w:rPr>
          <w:lang w:val="en-GB"/>
        </w:rPr>
        <w:t>textwrap</w:t>
      </w:r>
      <w:proofErr w:type="spellEnd"/>
      <w:r>
        <w:rPr>
          <w:lang w:val="en-GB"/>
        </w:rPr>
        <w:t>, sys, math, and requires a working MUSCLE command line installation. Though it uses a series of scripts for its entire workflow, it is executed using a single command and outputs progress updates to the shell through which it was launched, as well as a log file.</w:t>
      </w:r>
    </w:p>
    <w:p w14:paraId="2AEB0A05" w14:textId="77777777" w:rsidR="00351F39" w:rsidRDefault="00351F39" w:rsidP="00351F39">
      <w:pPr>
        <w:pStyle w:val="Caption"/>
      </w:pPr>
      <w:r>
        <w:rPr>
          <w:noProof/>
        </w:rPr>
        <w:drawing>
          <wp:inline distT="0" distB="0" distL="0" distR="0" wp14:anchorId="5E0A4771" wp14:editId="4B63AA38">
            <wp:extent cx="6114415" cy="3261995"/>
            <wp:effectExtent l="0" t="0" r="635" b="0"/>
            <wp:docPr id="1220301136" name="Picture 1220301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4415" cy="3261995"/>
                    </a:xfrm>
                    <a:prstGeom prst="rect">
                      <a:avLst/>
                    </a:prstGeom>
                    <a:noFill/>
                    <a:ln>
                      <a:noFill/>
                    </a:ln>
                  </pic:spPr>
                </pic:pic>
              </a:graphicData>
            </a:graphic>
          </wp:inline>
        </w:drawing>
      </w:r>
    </w:p>
    <w:p w14:paraId="15EC1F56" w14:textId="77777777" w:rsidR="00351F39" w:rsidRDefault="00351F39" w:rsidP="00351F39">
      <w:pPr>
        <w:pStyle w:val="Caption"/>
      </w:pPr>
      <w:bookmarkStart w:id="4" w:name="_Toc131691443"/>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r>
        <w:t xml:space="preserve"> Overview of the probe-designing pipeline</w:t>
      </w:r>
      <w:bookmarkEnd w:id="4"/>
    </w:p>
    <w:p w14:paraId="1E7ADE97" w14:textId="77777777" w:rsidR="00351F39" w:rsidRDefault="00351F39" w:rsidP="00351F39">
      <w:pPr>
        <w:pStyle w:val="Tabletext"/>
        <w:rPr>
          <w:lang w:val="en-US"/>
        </w:rPr>
      </w:pPr>
      <w:r>
        <w:rPr>
          <w:lang w:val="en-US"/>
        </w:rPr>
        <w:t>Horizontal bars represent the four different scripts and the order in which they are executed.</w:t>
      </w:r>
    </w:p>
    <w:p w14:paraId="6ABA111B" w14:textId="77777777" w:rsidR="00351F39" w:rsidRDefault="00351F39" w:rsidP="00351F39">
      <w:pPr>
        <w:pStyle w:val="Heading3"/>
      </w:pPr>
      <w:bookmarkStart w:id="5" w:name="_Toc131691386"/>
      <w:r>
        <w:lastRenderedPageBreak/>
        <w:t>Input</w:t>
      </w:r>
      <w:bookmarkEnd w:id="5"/>
    </w:p>
    <w:p w14:paraId="7F2F393B" w14:textId="77777777" w:rsidR="00351F39" w:rsidRDefault="00351F39" w:rsidP="00351F39">
      <w:r>
        <w:t xml:space="preserve">Input is provided as a single </w:t>
      </w:r>
      <w:proofErr w:type="spellStart"/>
      <w:r>
        <w:t>fasta</w:t>
      </w:r>
      <w:proofErr w:type="spellEnd"/>
      <w:r>
        <w:t xml:space="preserve"> file that contains (reference) genomes of high quality whose diversity should be represented in a probe panel for enrichment. Each genome should be well curated to permit only sequences of which the researcher is most confident. The headers should have a prefix of virus genotype and subtype followed by an underscore (</w:t>
      </w:r>
      <w:proofErr w:type="gramStart"/>
      <w:r>
        <w:t>e.g.</w:t>
      </w:r>
      <w:proofErr w:type="gramEnd"/>
      <w:r>
        <w:t xml:space="preserve"> “</w:t>
      </w:r>
      <w:r w:rsidRPr="001938C0">
        <w:t>&gt;1a_EF407457</w:t>
      </w:r>
      <w:r>
        <w:t xml:space="preserve">” (HCV) or “&gt;MB_K03455” (HIV)). If a subtype is unknown, it can be left out. For a cheaper, denser set of efficient probes, care should be taken to choose only sequences that can be expected to reflect the study cohort to be sequenced. Every genome of a new subtype or genotype can dramatically add to the final probe count with diminishing returns for each subsequent genome of the same type. Using an optional parameter on launch can exclude certain genotypes or subtypes as targets for probe design, but still include them for quality control. This allows a researcher for instance to design probes only against HCV4a </w:t>
      </w:r>
      <w:proofErr w:type="gramStart"/>
      <w:r>
        <w:t>sequences, but</w:t>
      </w:r>
      <w:proofErr w:type="gramEnd"/>
      <w:r>
        <w:t xml:space="preserve"> check the coverage of the resulting probes against other subtypes of HCV4. A list of the parameters can be found in Supplementary Figure 5.2. </w:t>
      </w:r>
    </w:p>
    <w:p w14:paraId="51B3995F" w14:textId="77777777" w:rsidR="00351F39" w:rsidRDefault="00351F39" w:rsidP="00351F39">
      <w:pPr>
        <w:pStyle w:val="Heading3"/>
      </w:pPr>
      <w:bookmarkStart w:id="6" w:name="_Toc131691387"/>
      <w:r>
        <w:t>Cleaning and Initial Probes</w:t>
      </w:r>
      <w:bookmarkEnd w:id="6"/>
    </w:p>
    <w:p w14:paraId="720FC4F9" w14:textId="378532B5" w:rsidR="00351F39" w:rsidRDefault="00351F39" w:rsidP="00351F39">
      <w:r>
        <w:t xml:space="preserve">Before input (reference) genomes are used as targets for probe design, degenerate IUPAC code is resolved to one of its constituent bases. Additionally, the 3’ poly-(A) motif is common in both mRNA and viral genomes and thus must be trimmed away to prevent capture of low-complexity non-HCV sequences </w:t>
      </w:r>
      <w:r>
        <w:fldChar w:fldCharType="begin" w:fldLock="1"/>
      </w:r>
      <w:r w:rsidR="00B94BFB">
        <w:instrText>ADDIN CSL_CITATION {"citationItems":[{"id":"ITEM-1","itemData":{"DOI":"10.12688/f1000research.7111.1","ISSN":"2046-1402 (Print)","PMID":"27092241","abstract":"The routine availability of high-depth virus sequence data would allow the sensitive detection of resistance-associated variants that can jeopardize HIV or hepatitis C virus (HCV) treatment. We introduce ve-SEQ, a high-throughput method for sequence-specific enrichment and characterization of whole-virus genomes at up to 20% divergence from a reference sequence and 1,000-fold greater sensitivity than direct sequencing. The extreme genetic diversity of HCV led us to implement an algorithm for the efficient design of panels of oligonucleotide probes to capture any sequence among a defined set of targets without detectable bias. ve-SEQ enables efficient detection and sequencing of any HCV genome, including mixtures and intra-host variants, in a single experiment, with greater tolerance of sequence diversity than standard amplification methods and greater sensitivity than metagenomic sequencing, features that are directly applicable to other pathogens or arbitrary groups of target organisms, allowing the combination of sensitive detection with sequencing in many settings.","author":[{"dropping-particle":"","family":"Bonsall","given":"David","non-dropping-particle":"","parse-names":false,"suffix":""},{"dropping-particle":"","family":"Ansari","given":"M Azim","non-dropping-particle":"","parse-names":false,"suffix":""},{"dropping-particle":"","family":"Ip","given":"Camilla","non-dropping-particle":"","parse-names":false,"suffix":""},{"dropping-particle":"","family":"Trebes","given":"Amy","non-dropping-particle":"","parse-names":false,"suffix":""},{"dropping-particle":"","family":"Brown","given":"Anthony","non-dropping-particle":"","parse-names":false,"suffix":""},{"dropping-particle":"","family":"Klenerman","given":"Paul","non-dropping-particle":"","parse-names":false,"suffix":""},{"dropping-particle":"","family":"Buck","given":"David","non-dropping-particle":"","parse-names":false,"suffix":""},{"dropping-particle":"","family":"STOP-HCV Consortium","given":"","non-dropping-particle":"","parse-names":false,"suffix":""},{"dropping-particle":"","family":"Piazza","given":"Paolo","non-dropping-particle":"","parse-names":false,"suffix":""},{"dropping-particle":"","family":"Barnes","given":"Eleanor","non-dropping-particle":"","parse-names":false,"suffix":""},{"dropping-particle":"","family":"Bowden","given":"Rory","non-dropping-particle":"","parse-names":false,"suffix":""}],"container-title":"F1000Research","id":"ITEM-1","issued":{"date-parts":[["2015"]]},"language":"eng","page":"1062","publisher":"Faculty of 1000 Ltd","publisher-place":"England","title":"ve-SEQ: Robust, unbiased enrichment for streamlined detection and whole-genome sequencing of HCV and other highly diverse pathogens.","type":"article-journal","volume":"4"},"uris":["http://www.mendeley.com/documents/?uuid=dd3d318a-25c8-4628-a7ce-a5a62683facf"]}],"mendeley":{"formattedCitation":"[6]","plainTextFormattedCitation":"[6]","previouslyFormattedCitation":"[66]"},"properties":{"noteIndex":0},"schema":"https://github.com/citation-style-language/schema/raw/master/csl-citation.json"}</w:instrText>
      </w:r>
      <w:r>
        <w:fldChar w:fldCharType="separate"/>
      </w:r>
      <w:r w:rsidR="00B94BFB" w:rsidRPr="00B94BFB">
        <w:rPr>
          <w:noProof/>
        </w:rPr>
        <w:t>[6]</w:t>
      </w:r>
      <w:r>
        <w:fldChar w:fldCharType="end"/>
      </w:r>
      <w:r>
        <w:t xml:space="preserve">. The 3’ UTR poly-(A) tract is identified and removed if one of the two following conditions are satisfied: Reading through the last 400 nucleotides of the sequence from 5’ to 3’: </w:t>
      </w:r>
    </w:p>
    <w:p w14:paraId="62048123" w14:textId="77777777" w:rsidR="00351F39" w:rsidRDefault="00351F39" w:rsidP="00351F39">
      <w:pPr>
        <w:ind w:firstLine="720"/>
      </w:pPr>
      <w:r>
        <w:t xml:space="preserve">1) there has been ten </w:t>
      </w:r>
      <w:proofErr w:type="gramStart"/>
      <w:r>
        <w:t>T’s</w:t>
      </w:r>
      <w:proofErr w:type="gramEnd"/>
      <w:r>
        <w:t xml:space="preserve"> in a row OR</w:t>
      </w:r>
    </w:p>
    <w:p w14:paraId="61DAFF25" w14:textId="77777777" w:rsidR="00351F39" w:rsidRDefault="00351F39" w:rsidP="00351F39">
      <w:pPr>
        <w:ind w:firstLine="720"/>
      </w:pPr>
      <w:r>
        <w:t xml:space="preserve">2) there has been two </w:t>
      </w:r>
      <w:proofErr w:type="gramStart"/>
      <w:r>
        <w:t>T’s</w:t>
      </w:r>
      <w:proofErr w:type="gramEnd"/>
      <w:r>
        <w:t xml:space="preserve"> in a row and &gt;=13 of the previous 20 nucleotides are T’s</w:t>
      </w:r>
    </w:p>
    <w:p w14:paraId="297B09B5" w14:textId="77777777" w:rsidR="00351F39" w:rsidRDefault="00351F39" w:rsidP="00351F39">
      <w:r>
        <w:t>The pipeline reports on its findings for every (reference) genome and prints it to terminal as well as to the log file for manual inspection. Below an example for two input (reference) genomes</w:t>
      </w:r>
      <w:r w:rsidRPr="005B50D3">
        <w:t xml:space="preserve"> </w:t>
      </w:r>
      <w:r>
        <w:t xml:space="preserve">can be seen.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351F39" w14:paraId="013B666E" w14:textId="77777777" w:rsidTr="0005439D">
        <w:trPr>
          <w:jc w:val="center"/>
        </w:trPr>
        <w:tc>
          <w:tcPr>
            <w:tcW w:w="9180" w:type="dxa"/>
          </w:tcPr>
          <w:p w14:paraId="7030215E" w14:textId="77777777" w:rsidR="00351F39" w:rsidRPr="001C2528" w:rsidRDefault="00351F39" w:rsidP="0005439D">
            <w:pPr>
              <w:rPr>
                <w:rFonts w:ascii="Courier New" w:hAnsi="Courier New" w:cs="Courier New"/>
              </w:rPr>
            </w:pPr>
            <w:r w:rsidRPr="001C2528">
              <w:rPr>
                <w:rFonts w:ascii="Courier New" w:hAnsi="Courier New" w:cs="Courier New"/>
              </w:rPr>
              <w:t xml:space="preserve">No suspicion of </w:t>
            </w:r>
            <w:proofErr w:type="spellStart"/>
            <w:r w:rsidRPr="001C2528">
              <w:rPr>
                <w:rFonts w:ascii="Courier New" w:hAnsi="Courier New" w:cs="Courier New"/>
              </w:rPr>
              <w:t>polyT</w:t>
            </w:r>
            <w:proofErr w:type="spellEnd"/>
            <w:r w:rsidRPr="001C2528">
              <w:rPr>
                <w:rFonts w:ascii="Courier New" w:hAnsi="Courier New" w:cs="Courier New"/>
              </w:rPr>
              <w:t xml:space="preserve"> region for reference: 1a_HQ850279</w:t>
            </w:r>
          </w:p>
          <w:p w14:paraId="017D1155" w14:textId="77777777" w:rsidR="00351F39" w:rsidRPr="001C2528" w:rsidRDefault="00351F39" w:rsidP="0005439D">
            <w:pPr>
              <w:rPr>
                <w:rFonts w:ascii="Courier New" w:hAnsi="Courier New" w:cs="Courier New"/>
              </w:rPr>
            </w:pPr>
            <w:r w:rsidRPr="001C2528">
              <w:rPr>
                <w:rFonts w:ascii="Courier New" w:hAnsi="Courier New" w:cs="Courier New"/>
              </w:rPr>
              <w:t>5'...AAATCAATAGGGTGGCCGCATGCCTCAGAAAACTTGGGGTCCCGCCCTTGCGAGCTTGGAGACACCGGGCCCGAAGCGTCCGCGCTAAGCTCCTGTCCAGAGGAGGCAGGGCTGCCATATGTGGCAAGTACCTCTTCAATTGGGCAGTGAGAACAAAGCTCAAACTCACTCCAATAGCGGC</w:t>
            </w:r>
            <w:r w:rsidRPr="001C2528">
              <w:rPr>
                <w:rFonts w:ascii="Courier New" w:hAnsi="Courier New" w:cs="Courier New"/>
              </w:rPr>
              <w:lastRenderedPageBreak/>
              <w:t>CGCTGGCCAGCTGGACTTGTCCGGCTGGTTCACGGCTGGCTACAGCGGGGGAGACATTTATCACAGCGTGTCTCGTGCCCGGCCCCGCTGGTTTTGGTTTTGCCTACTCCTGCTTGCTG '3</w:t>
            </w:r>
          </w:p>
          <w:p w14:paraId="360E98DC" w14:textId="77777777" w:rsidR="00351F39" w:rsidRPr="001C2528" w:rsidRDefault="00351F39" w:rsidP="0005439D">
            <w:pPr>
              <w:rPr>
                <w:rFonts w:ascii="Courier New" w:hAnsi="Courier New" w:cs="Courier New"/>
              </w:rPr>
            </w:pPr>
          </w:p>
          <w:p w14:paraId="690B057D" w14:textId="77777777" w:rsidR="00351F39" w:rsidRPr="001C2528" w:rsidRDefault="00351F39" w:rsidP="0005439D">
            <w:pPr>
              <w:rPr>
                <w:rFonts w:ascii="Courier New" w:hAnsi="Courier New" w:cs="Courier New"/>
              </w:rPr>
            </w:pPr>
            <w:r w:rsidRPr="001C2528">
              <w:rPr>
                <w:rFonts w:ascii="Courier New" w:hAnsi="Courier New" w:cs="Courier New"/>
              </w:rPr>
              <w:t xml:space="preserve">Suspicion of </w:t>
            </w:r>
            <w:proofErr w:type="spellStart"/>
            <w:r w:rsidRPr="001C2528">
              <w:rPr>
                <w:rFonts w:ascii="Courier New" w:hAnsi="Courier New" w:cs="Courier New"/>
              </w:rPr>
              <w:t>polyT</w:t>
            </w:r>
            <w:proofErr w:type="spellEnd"/>
            <w:r w:rsidRPr="001C2528">
              <w:rPr>
                <w:rFonts w:ascii="Courier New" w:hAnsi="Courier New" w:cs="Courier New"/>
              </w:rPr>
              <w:t xml:space="preserve"> region found and excluded for reference</w:t>
            </w:r>
            <w:r>
              <w:rPr>
                <w:rFonts w:ascii="Courier New" w:hAnsi="Courier New" w:cs="Courier New"/>
              </w:rPr>
              <w:t>:</w:t>
            </w:r>
            <w:r w:rsidRPr="001C2528">
              <w:rPr>
                <w:rFonts w:ascii="Courier New" w:hAnsi="Courier New" w:cs="Courier New"/>
              </w:rPr>
              <w:t xml:space="preserve"> 1a_</w:t>
            </w:r>
            <w:proofErr w:type="gramStart"/>
            <w:r w:rsidRPr="001C2528">
              <w:rPr>
                <w:rFonts w:ascii="Courier New" w:hAnsi="Courier New" w:cs="Courier New"/>
              </w:rPr>
              <w:t>EF407419</w:t>
            </w:r>
            <w:proofErr w:type="gramEnd"/>
          </w:p>
          <w:p w14:paraId="66DE8258" w14:textId="77777777" w:rsidR="00351F39" w:rsidRDefault="00351F39" w:rsidP="0005439D">
            <w:r w:rsidRPr="001C2528">
              <w:rPr>
                <w:rFonts w:ascii="Courier New" w:hAnsi="Courier New" w:cs="Courier New"/>
              </w:rPr>
              <w:t>5'...GGCTACAGCGGGGGAGACATTTATCACAGCGTGTCTCATGCCCGGCCCCGCTGGTTCTGGTTTTGCCTACTCCTGCTCGCTGCAGGGGTAGGCATCTACCTCCTCCCCAACCGATGAAGGTTGGGGTAAACACTCCGGCCTCTTAGGCCA ▼ TTTCCTGTTTTTTTTTTTTTTTTTTT '3</w:t>
            </w:r>
          </w:p>
        </w:tc>
      </w:tr>
    </w:tbl>
    <w:p w14:paraId="5ED5321F" w14:textId="77777777" w:rsidR="00351F39" w:rsidRDefault="00351F39" w:rsidP="00351F39"/>
    <w:p w14:paraId="33F0B6E4" w14:textId="411543FE" w:rsidR="00351F39" w:rsidRDefault="00351F39" w:rsidP="00351F39">
      <w:r>
        <w:t xml:space="preserve">Once cleaning is finalized, an initial set of probes is generated. Without this set, the first probes would simply be 120 nucleotide end-to-end segments of the genome it first encounters since no pre-existing probe exists to cover its genome anywhere. That set might not be the most efficient in covering the given diversity within an entire genotype, subtype, or all strains collectively and might lead to an unnecessarily high number of probes. Instead, a consensus of input (reference) genomes is used to produce the initial probes. The script can be launched with several options to customize what is included for the generation of this consensus sequence, and if multiple sets of consensus sequences for each genotype should be employed. Whichever options are chosen, the script aligns the relevant sequences using MUSCLE </w:t>
      </w:r>
      <w:r>
        <w:fldChar w:fldCharType="begin" w:fldLock="1"/>
      </w:r>
      <w:r w:rsidR="00B94BFB">
        <w:instrText>ADDIN CSL_CITATION {"citationItems":[{"id":"ITEM-1","itemData":{"DOI":"10.1093/nar/gkh340","ISSN":"0305-1048 (Print)","PMID":"15034147","abstract":"We describe MUSCLE, a new computer program for creating multiple alignments of protein sequences. Elements of the algorithm include fast distance estimation using kmer counting, progressive alignment using a new profile function we call the log-expectation score, and refinement using tree-dependent restricted partitioning. The speed and accuracy of MUSCLE are compared with T-Coffee, MAFFT and CLUSTALW on four test sets of reference alignments: BAliBASE, SABmark, SMART and a new benchmark, PREFAB. MUSCLE achieves the highest, or joint highest, rank in accuracy on each of these sets. Without refinement, MUSCLE achieves average accuracy statistically indistinguishable from T-Coffee and MAFFT, and is the fastest of the tested methods for large numbers of sequences, aligning 5000 sequences of average length 350 in 7 min on a current desktop computer. The MUSCLE program, source code and PREFAB test data are freely available at http://www.drive5.com/muscle. ","author":[{"dropping-particle":"","family":"Edgar","given":"Robert C","non-dropping-particle":"","parse-names":false,"suffix":""}],"container-title":"Nucleic Acids Research","id":"ITEM-1","issue":"5","issued":{"date-parts":[["2004"]]},"language":"eng","page":"1792-1797","publisher-place":"Oxford, UK","title":"MUSCLE: multiple sequence alignment with high accuracy and high throughput","type":"article","volume":"32"},"uris":["http://www.mendeley.com/documents/?uuid=d2f9cd12-0515-4201-a311-250f933c0230"]}],"mendeley":{"formattedCitation":"[17]","plainTextFormattedCitation":"[17]","previouslyFormattedCitation":"[121]"},"properties":{"noteIndex":0},"schema":"https://github.com/citation-style-language/schema/raw/master/csl-citation.json"}</w:instrText>
      </w:r>
      <w:r>
        <w:fldChar w:fldCharType="separate"/>
      </w:r>
      <w:r w:rsidR="00B94BFB" w:rsidRPr="00B94BFB">
        <w:rPr>
          <w:noProof/>
        </w:rPr>
        <w:t>[17]</w:t>
      </w:r>
      <w:r>
        <w:fldChar w:fldCharType="end"/>
      </w:r>
      <w:r>
        <w:t xml:space="preserve">, generates a consensus sequence, and produces a set of 120 nucleotide end-to-end segments as initial probes. </w:t>
      </w:r>
    </w:p>
    <w:p w14:paraId="34A50FC9" w14:textId="77777777" w:rsidR="00351F39" w:rsidRDefault="00351F39" w:rsidP="00351F39">
      <w:pPr>
        <w:pStyle w:val="Heading3"/>
      </w:pPr>
      <w:bookmarkStart w:id="7" w:name="_Toc131691388"/>
      <w:r>
        <w:t>Probe design</w:t>
      </w:r>
      <w:bookmarkEnd w:id="7"/>
    </w:p>
    <w:p w14:paraId="3B5B6C62" w14:textId="77777777" w:rsidR="00351F39" w:rsidRDefault="00351F39" w:rsidP="00351F39">
      <w:r>
        <w:t xml:space="preserve">In an iterative fashion, each (reference) genome in the order they are listed in the input </w:t>
      </w:r>
      <w:proofErr w:type="spellStart"/>
      <w:r>
        <w:t>fasta</w:t>
      </w:r>
      <w:proofErr w:type="spellEnd"/>
      <w:r>
        <w:t xml:space="preserve"> file, is scanned in 120 nucleotide windows with a step size of one from 5’ to 3’ and has each window compared to the similarity of every probe designed thus far. In this manner, regions where no existing probe has a similarity above a given threshold are identified. Wherever these gaps exceed half the length of a probe, the corresponding sequence in the (reference) genome is used as a template for </w:t>
      </w:r>
      <w:proofErr w:type="gramStart"/>
      <w:r>
        <w:t>a number of</w:t>
      </w:r>
      <w:proofErr w:type="gramEnd"/>
      <w:r>
        <w:t xml:space="preserve"> new probes sufficient to bridge the gap (see Figure 5.2). The script then continues to the next (reference) genome in the input </w:t>
      </w:r>
      <w:proofErr w:type="spellStart"/>
      <w:r>
        <w:t>fasta</w:t>
      </w:r>
      <w:proofErr w:type="spellEnd"/>
      <w:r>
        <w:t xml:space="preserve"> file and keeps performing this series of actions, producing an increasing number of probes until every input (reference) genome has been analyzed and probes designed against it if necessary. This </w:t>
      </w:r>
      <w:r>
        <w:lastRenderedPageBreak/>
        <w:t xml:space="preserve">panel of probes is written to a </w:t>
      </w:r>
      <w:proofErr w:type="spellStart"/>
      <w:r>
        <w:t>fasta</w:t>
      </w:r>
      <w:proofErr w:type="spellEnd"/>
      <w:r>
        <w:t xml:space="preserve"> file with the header of each containing the ID of the (reference) genome against which it was designed (</w:t>
      </w:r>
      <w:proofErr w:type="gramStart"/>
      <w:r>
        <w:t>e.g.</w:t>
      </w:r>
      <w:proofErr w:type="gramEnd"/>
      <w:r>
        <w:t xml:space="preserve"> “</w:t>
      </w:r>
      <w:r w:rsidRPr="001E6BC0">
        <w:t>&gt;Probe_</w:t>
      </w:r>
      <w:r>
        <w:t>17</w:t>
      </w:r>
      <w:r w:rsidRPr="001E6BC0">
        <w:t>_1b_D90208</w:t>
      </w:r>
      <w:r>
        <w:t>”).</w:t>
      </w:r>
    </w:p>
    <w:p w14:paraId="3D59C7B0" w14:textId="77777777" w:rsidR="00351F39" w:rsidRDefault="00351F39" w:rsidP="00351F39">
      <w:r>
        <w:rPr>
          <w:noProof/>
        </w:rPr>
        <w:drawing>
          <wp:inline distT="0" distB="0" distL="0" distR="0" wp14:anchorId="4985FCF6" wp14:editId="3446424F">
            <wp:extent cx="6113780" cy="1818005"/>
            <wp:effectExtent l="0" t="0" r="0" b="0"/>
            <wp:docPr id="1663849479" name="Picture 166384947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49479" name="Picture 1663849479" descr="A picture containing timel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3780" cy="1818005"/>
                    </a:xfrm>
                    <a:prstGeom prst="rect">
                      <a:avLst/>
                    </a:prstGeom>
                    <a:noFill/>
                    <a:ln>
                      <a:noFill/>
                    </a:ln>
                  </pic:spPr>
                </pic:pic>
              </a:graphicData>
            </a:graphic>
          </wp:inline>
        </w:drawing>
      </w:r>
    </w:p>
    <w:p w14:paraId="384E8DD8" w14:textId="77777777" w:rsidR="00351F39" w:rsidRDefault="00351F39" w:rsidP="00351F39">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r w:rsidRPr="00934B68">
        <w:t xml:space="preserve"> </w:t>
      </w:r>
      <w:r>
        <w:t>Close-up visualization of probe design</w:t>
      </w:r>
    </w:p>
    <w:p w14:paraId="38A46851" w14:textId="77777777" w:rsidR="00351F39" w:rsidRPr="00934B68" w:rsidRDefault="00351F39" w:rsidP="00351F39">
      <w:pPr>
        <w:pStyle w:val="Tabletext"/>
        <w:rPr>
          <w:lang w:val="en-US"/>
        </w:rPr>
      </w:pPr>
      <w:r>
        <w:rPr>
          <w:lang w:val="en-US"/>
        </w:rPr>
        <w:t>The figure is a simplified example showing where probes designed this far into the process map to a new input sequence. The red box shows a region where no probe matched the reference sequence above the sequence similarity threshold. This region is used as a template to design new probes that are added to the pool for the next input sequence.</w:t>
      </w:r>
    </w:p>
    <w:p w14:paraId="1642C4E5" w14:textId="77777777" w:rsidR="00351F39" w:rsidRDefault="00351F39" w:rsidP="00351F39">
      <w:pPr>
        <w:pStyle w:val="Heading3"/>
      </w:pPr>
      <w:bookmarkStart w:id="8" w:name="_Toc131691389"/>
      <w:r>
        <w:t>Quality Control</w:t>
      </w:r>
      <w:bookmarkEnd w:id="8"/>
    </w:p>
    <w:p w14:paraId="1A883406" w14:textId="77777777" w:rsidR="00351F39" w:rsidRPr="00FF30E6" w:rsidRDefault="00351F39" w:rsidP="00351F39">
      <w:r>
        <w:t>After designing the panel of probes, the script will proceed to a quality control step in which three main analyses and visualizations are produced. First, a graph showing both the number of new probes generated per input (reference) genome as well as the cumulative total probes is produced and can assist the researcher in evaluating which strains might not be worthwhile to include in probe design (see Supplementary figure 5.3). Second, to evaluate the efficiency of probe design and as an extra measure that probe design performs as expected, the best matching alignment for each probe to every other probe is recorded and graphed as a boxplot (see Supplementary figure 5.4).</w:t>
      </w:r>
      <w:r w:rsidRPr="00934B68">
        <w:t xml:space="preserve"> </w:t>
      </w:r>
      <w:r>
        <w:t xml:space="preserve">Provided that only a single consensus sequence was used as an initial probe set, no probe should have a similarity to any other probe above the sequence similarity threshold. Third, each reference is iterated through once more, this time finding the best matching position for each probe in the final probe pool. A graph is produced for every input sequence showing the position and similarity for every probe with regions of non-coverage highlighted (see Supplementary figure 5.5). This is especially useful when evaluating the affinity of the probes towards genotypes and subtypes that were not included as targets for probe design but still included in the input references. </w:t>
      </w:r>
    </w:p>
    <w:p w14:paraId="764091CF" w14:textId="77777777" w:rsidR="00351F39" w:rsidRPr="00547B75" w:rsidRDefault="00351F39" w:rsidP="00351F39">
      <w:pPr>
        <w:pStyle w:val="Heading2"/>
      </w:pPr>
      <w:bookmarkStart w:id="9" w:name="_Toc131691390"/>
      <w:r>
        <w:lastRenderedPageBreak/>
        <w:t>Results and Discussion</w:t>
      </w:r>
      <w:bookmarkEnd w:id="9"/>
    </w:p>
    <w:p w14:paraId="2626A4EB" w14:textId="77777777" w:rsidR="00351F39" w:rsidRDefault="00351F39" w:rsidP="00351F39">
      <w:pPr>
        <w:pStyle w:val="Heading3"/>
      </w:pPr>
      <w:bookmarkStart w:id="10" w:name="_Toc131691391"/>
      <w:r>
        <w:t>Sample dataset and evaluation</w:t>
      </w:r>
      <w:bookmarkEnd w:id="10"/>
    </w:p>
    <w:p w14:paraId="33918272" w14:textId="77777777" w:rsidR="00351F39" w:rsidRDefault="00351F39" w:rsidP="00351F39">
      <w:r>
        <w:t>We compiled a set 165 full HCV genomes from our own cohort and added 47 sequences of the represented HCV subtypes from the Los Alamos and ICTV databases for a final dataset containing 212 sequences across 13 subtypes (1a: 69, 1b: 66, 3a: 21, 4d: 17, 2a: 6, 4a: 6, 4v: 6, 4k: 6, 4r: 4, 2c: 4, 4q: 3, 4c: 2, 2i: 2). The initial 120-nucleotide probes were generated from the consensus of all (reference) genomes with new probes generated at a sequence similarity threshold of 80% resulting in a final panel of 768 probes (arguments -c, -cs). Generating these probes took nine hours and thirty-three minutes with a further ten hours and forty-one minutes for automated evaluation. Two example probe-reference alignments for this run can be seen in Supplementary figure 5.5.</w:t>
      </w:r>
    </w:p>
    <w:p w14:paraId="7046164B" w14:textId="77777777" w:rsidR="00351F39" w:rsidRPr="00F80A5C" w:rsidRDefault="00351F39" w:rsidP="00351F39">
      <w:pPr>
        <w:pStyle w:val="Heading3"/>
      </w:pPr>
      <w:bookmarkStart w:id="11" w:name="_Toc131691392"/>
      <w:r>
        <w:t>Comparison to other tools</w:t>
      </w:r>
      <w:bookmarkEnd w:id="11"/>
    </w:p>
    <w:p w14:paraId="4BD23501" w14:textId="37A547DD" w:rsidR="00351F39" w:rsidRDefault="00351F39" w:rsidP="00351F39">
      <w:r>
        <w:t xml:space="preserve">The default protocol for many commercial providers of oligonucleotide probes like IDT, is to use 120-mer end-to-end slices with a tiling factor of 1X or 2X. For the dataset used here, this would yield approximately 17,000 or 34,000 probes resulting in a large level of redundancy, especially in conserved areas and in excessively expensive sequencing assays. Many methods to consolidate a more cost-effective panel of probes from the total potential probes generated with more naïve approaches have been </w:t>
      </w:r>
      <w:proofErr w:type="gramStart"/>
      <w:r>
        <w:t>suggested, but</w:t>
      </w:r>
      <w:proofErr w:type="gramEnd"/>
      <w:r>
        <w:t xml:space="preserve"> are often developed more specifically for data incompatible with research on hypervariable viral taxa. One notable exception is </w:t>
      </w:r>
      <w:proofErr w:type="spellStart"/>
      <w:r>
        <w:t>ProbeTools</w:t>
      </w:r>
      <w:proofErr w:type="spellEnd"/>
      <w:r>
        <w:t xml:space="preserve"> </w:t>
      </w:r>
      <w:r>
        <w:fldChar w:fldCharType="begin" w:fldLock="1"/>
      </w:r>
      <w:r w:rsidR="00B94BFB">
        <w:instrText>ADDIN CSL_CITATION {"citationItems":[{"id":"ITEM-1","itemData":{"DOI":"10.1186/S12864-022-08790-4/TABLES/2","ISSN":"14712164","PMID":"35953803","abstract":"Background: Sequencing viruses in many specimens is hindered by excessive background material from hosts, microbiota, and environmental organisms. Consequently, enrichment of target genomic material is necessary for practical high-throughput viral genome sequencing. Hybridization probes are widely used for enrichment in many fields, but their application to viral sequencing faces a major obstacle: it is difficult to design panels of probe oligo sequences that broadly target many viral taxa due to their rapid evolution, extensive diversity, and genetic hypervariability. To address this challenge, we created ProbeTools, a package of bioinformatic tools for generating effective viral capture panels, and for assessing coverage of target sequences by probe panel designs in silico. In this study, we validated ProbeTools by designing a panel of 3600 probes for subtyping the hypervariable haemagglutinin (HA) and neuraminidase (NA) genome segments of avian-origin influenza A viruses (AIVs). Using in silico assessment of AIV reference sequences and in vitro capture on egg-cultured viral isolates, we demonstrated effective performance by our custom AIV panel and ProbeTools’ suitability for challenging viral probe design applications. Results: Based on ProbeTool’s in silico analysis, our panel provided broadly inclusive coverage of 14,772 HA and 11,967 NA reference sequences. For each reference sequence, we calculated the percentage of nucleotide positions covered by our panel in silico; 90% of HA and NA references sequences had at least 90.8 and 95.1% of their nucleotide positions covered respectively. We also observed effective in vitro capture on a representative collection of 23 egg-cultured AIVs that included isolates from wild birds, poultry, and humans and representatives from all HA and NA subtypes. Forty-two of forty-six HA and NA segments had over 98.3% of their nucleotide positions significantly enriched by our custom panel. These in vitro results were further used to validate ProbeTools’ in silico coverage assessment algorithm; 89.2% of in silico predictions were concordant with in vitro results. Conclusions: ProbeTools generated an effective panel for subtyping AIVs that can be deployed for genomic surveillance, outbreak prevention, and pandemic preparedness. Effective probe design against hypervariable AIV targets also validated ProbeTools’ design and coverage assessment algorithms, demonstrating their suitability for other challenging viral capture a…","author":[{"dropping-particle":"","family":"Kuchinski","given":"Kevin S.","non-dropping-particle":"","parse-names":false,"suffix":""},{"dropping-particle":"","family":"Duan","given":"Jun","non-dropping-particle":"","parse-names":false,"suffix":""},{"dropping-particle":"","family":"Himsworth","given":"Chelsea","non-dropping-particle":"","parse-names":false,"suffix":""},{"dropping-particle":"","family":"Hsiao","given":"William","non-dropping-particle":"","parse-names":false,"suffix":""},{"dropping-particle":"","family":"Prystajecky","given":"Natalie A.","non-dropping-particle":"","parse-names":false,"suffix":""}],"container-title":"BMC Genomics","id":"ITEM-1","issue":"1","issued":{"date-parts":[["2022","12","1"]]},"page":"1-14","publisher":"BioMed Central Ltd","title":"ProbeTools: designing hybridization probes for targeted genomic sequencing of diverse and hypervariable viral taxa","type":"article-journal","volume":"23"},"uris":["http://www.mendeley.com/documents/?uuid=3c4c0092-3fe6-3a00-986f-e8a6484c9229"]}],"mendeley":{"formattedCitation":"[18]","plainTextFormattedCitation":"[18]","previouslyFormattedCitation":"[177]"},"properties":{"noteIndex":0},"schema":"https://github.com/citation-style-language/schema/raw/master/csl-citation.json"}</w:instrText>
      </w:r>
      <w:r>
        <w:fldChar w:fldCharType="separate"/>
      </w:r>
      <w:r w:rsidR="00B94BFB" w:rsidRPr="00B94BFB">
        <w:rPr>
          <w:noProof/>
        </w:rPr>
        <w:t>[18]</w:t>
      </w:r>
      <w:r>
        <w:fldChar w:fldCharType="end"/>
      </w:r>
      <w:r>
        <w:t xml:space="preserve"> which subdivides the input references into k-</w:t>
      </w:r>
      <w:proofErr w:type="spellStart"/>
      <w:r>
        <w:t>mers</w:t>
      </w:r>
      <w:proofErr w:type="spellEnd"/>
      <w:r>
        <w:t xml:space="preserve"> before clustering them based on a given similarity threshold using VSEARCH </w:t>
      </w:r>
      <w:proofErr w:type="spellStart"/>
      <w:r>
        <w:t>cluster_fast</w:t>
      </w:r>
      <w:proofErr w:type="spellEnd"/>
      <w:r>
        <w:t xml:space="preserve"> </w:t>
      </w:r>
      <w:r>
        <w:fldChar w:fldCharType="begin" w:fldLock="1"/>
      </w:r>
      <w:r w:rsidR="00B94BFB">
        <w:instrText>ADDIN CSL_CITATION {"citationItems":[{"id":"ITEM-1","itemData":{"DOI":"10.7717/PEERJ.2584","ISSN":"2167-8359","PMID":"27781170","abstract":"Background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author":[{"dropping-particle":"","family":"Rognes","given":"Torbjørn","non-dropping-particle":"","parse-names":false,"suffix":""},{"dropping-particle":"","family":"Flouri","given":"Tomáš","non-dropping-particle":"","parse-names":false,"suffix":""},{"dropping-particle":"","family":"Nichols","given":"Ben","non-dropping-particle":"","parse-names":false,"suffix":""},{"dropping-particle":"","family":"Quince","given":"Christopher","non-dropping-particle":"","parse-names":false,"suffix":""},{"dropping-particle":"","family":"Mahé","given":"Frédéric","non-dropping-particle":"","parse-names":false,"suffix":""}],"container-title":"PeerJ","id":"ITEM-1","issue":"10","issued":{"date-parts":[["2016"]]},"publisher":"PeerJ","title":"VSEARCH: a versatile open source tool for metagenomics","type":"article-journal","volume":"4"},"uris":["http://www.mendeley.com/documents/?uuid=01b6abfe-9af0-3994-bf36-38cc41bc1936"]}],"mendeley":{"formattedCitation":"[19]","plainTextFormattedCitation":"[19]","previouslyFormattedCitation":"[178]"},"properties":{"noteIndex":0},"schema":"https://github.com/citation-style-language/schema/raw/master/csl-citation.json"}</w:instrText>
      </w:r>
      <w:r>
        <w:fldChar w:fldCharType="separate"/>
      </w:r>
      <w:r w:rsidR="00B94BFB" w:rsidRPr="00B94BFB">
        <w:rPr>
          <w:noProof/>
        </w:rPr>
        <w:t>[19]</w:t>
      </w:r>
      <w:r>
        <w:fldChar w:fldCharType="end"/>
      </w:r>
      <w:r>
        <w:t>. The centroid sequence of each cluster is then ranked by the size of the cluster they represent and the candidates that can account for the most k-</w:t>
      </w:r>
      <w:proofErr w:type="spellStart"/>
      <w:r>
        <w:t>mers</w:t>
      </w:r>
      <w:proofErr w:type="spellEnd"/>
      <w:r>
        <w:t xml:space="preserve"> are accepted as probes, a strategy that can result in a bias towards overrepresented sequences. </w:t>
      </w:r>
      <w:proofErr w:type="spellStart"/>
      <w:r>
        <w:t>ProbeTools</w:t>
      </w:r>
      <w:proofErr w:type="spellEnd"/>
      <w:r>
        <w:t xml:space="preserve"> then iterates through this process until 90% of the input references have more than 90% of their lengths covered by at least one probe. On our dataset with the closest equivalent parameters, </w:t>
      </w:r>
      <w:proofErr w:type="spellStart"/>
      <w:r>
        <w:t>ProbeTools</w:t>
      </w:r>
      <w:proofErr w:type="spellEnd"/>
      <w:r>
        <w:t xml:space="preserve"> produced 3,100 probes (see Table 5.1). We tested CATCH </w:t>
      </w:r>
      <w:r>
        <w:fldChar w:fldCharType="begin" w:fldLock="1"/>
      </w:r>
      <w:r w:rsidR="00B94BFB">
        <w:instrText>ADDIN CSL_CITATION {"citationItems":[{"id":"ITEM-1","itemData":{"DOI":"10.1038/s41587-018-0006-x","ISSN":"1546-1696","PMID":"30718881","abstract":"Metagenomic sequencing has the potential to transform microbial detection and characterization, but new tools are needed to improve its sensitivity. Here we present CATCH, a computational method to enhance nucleic acid capture for enrichment of diverse microbial taxa. CATCH designs optimal probe sets, with a specified number of oligonucleotides, that achieve full coverage of, and scale well with, known sequence diversity. We focus on applying CATCH to capture viral genomes in complex metagenomic samples. We design, synthesize, and validate multiple probe sets, including one that targets the whole genomes of the 356 viral species known to infect humans. Capture with these probe sets enriches unique viral content on average 18-fold, allowing us to assemble genomes that could not be recovered without enrichment, and accurately preserves within-sample diversity. We also use these probe sets to recover genomes from the 2018 Lassa fever outbreak in Nigeria and to improve detection of uncharacterized viral infections in human and mosquito samples. The results demonstrate that CATCH enables more sensitive and cost-effective metagenomic sequencing. A sensitive method to analyze metagenomes, CATCH, enables detection and characterization of diverse viral sequences, including the 356 viruses known to infect humans.","author":[{"dropping-particle":"","family":"Metsky","given":"Hayden C.","non-dropping-particle":"","parse-names":false,"suffix":""},{"dropping-particle":"","family":"Siddle","given":"Katherine J.","non-dropping-particle":"","parse-names":false,"suffix":""},{"dropping-particle":"","family":"Gladden-Young","given":"Adrianne","non-dropping-particle":"","parse-names":false,"suffix":""},{"dropping-particle":"","family":"Qu","given":"James","non-dropping-particle":"","parse-names":false,"suffix":""},{"dropping-particle":"","family":"Yang","given":"David K.","non-dropping-particle":"","parse-names":false,"suffix":""},{"dropping-particle":"","family":"Brehio","given":"Patrick","non-dropping-particle":"","parse-names":false,"suffix":""},{"dropping-particle":"","family":"Goldfarb","given":"Andrew","non-dropping-particle":"","parse-names":false,"suffix":""},{"dropping-particle":"","family":"Piantadosi","given":"Anne","non-dropping-particle":"","parse-names":false,"suffix":""},{"dropping-particle":"","family":"Wohl","given":"Shirlee","non-dropping-particle":"","parse-names":false,"suffix":""},{"dropping-particle":"","family":"Carter","given":"Amber","non-dropping-particle":"","parse-names":false,"suffix":""},{"dropping-particle":"","family":"Lin","given":"Aaron E.","non-dropping-particle":"","parse-names":false,"suffix":""},{"dropping-particle":"","family":"Barnes","given":"Kayla G.","non-dropping-particle":"","parse-names":false,"suffix":""},{"dropping-particle":"","family":"Tully","given":"Damien C.","non-dropping-particle":"","parse-names":false,"suffix":""},{"dropping-particle":"","family":"Corleis","given":"Bjӧrn","non-dropping-particle":"","parse-names":false,"suffix":""},{"dropping-particle":"","family":"Hennigan","given":"Scott","non-dropping-particle":"","parse-names":false,"suffix":""},{"dropping-particle":"","family":"Barbosa-Lima","given":"Giselle","non-dropping-particle":"","parse-names":false,"suffix":""},{"dropping-particle":"","family":"Vieira","given":"Yasmine R.","non-dropping-particle":"","parse-names":false,"suffix":""},{"dropping-particle":"","family":"Paul","given":"Lauren M.","non-dropping-particle":"","parse-names":false,"suffix":""},{"dropping-particle":"","family":"Tan","given":"Amanda L.","non-dropping-particle":"","parse-names":false,"suffix":""},{"dropping-particle":"","family":"Garcia","given":"Kimberly F.","non-dropping-particle":"","parse-names":false,"suffix":""},{"dropping-particle":"","family":"Parham","given":"Leda A.","non-dropping-particle":"","parse-names":false,"suffix":""},{"dropping-particle":"","family":"Odia","given":"Ikponmwosa","non-dropping-particle":"","parse-names":false,"suffix":""},{"dropping-particle":"","family":"Eromon","given":"Philomena","non-dropping-particle":"","parse-names":false,"suffix":""},{"dropping-particle":"","family":"Folarin","given":"Onikepe A.","non-dropping-particle":"","parse-names":false,"suffix":""},{"dropping-particle":"","family":"Goba","given":"Augustine","non-dropping-particle":"","parse-names":false,"suffix":""},{"dropping-particle":"","family":"Simon-Lorière","given":"Etienne","non-dropping-particle":"","parse-names":false,"suffix":""},{"dropping-particle":"","family":"Hensley","given":"Lisa","non-dropping-particle":"","parse-names":false,"suffix":""},{"dropping-particle":"","family":"Balmaseda","given":"Angel","non-dropping-particle":"","parse-names":false,"suffix":""},{"dropping-particle":"","family":"Harris","given":"Eva","non-dropping-particle":"","parse-names":false,"suffix":""},{"dropping-particle":"","family":"Kwon","given":"Douglas S.","non-dropping-particle":"","parse-names":false,"suffix":""},{"dropping-particle":"","family":"Allen","given":"Todd M.","non-dropping-particle":"","parse-names":false,"suffix":""},{"dropping-particle":"","family":"Runstadler","given":"Jonathan A.","non-dropping-particle":"","parse-names":false,"suffix":""},{"dropping-particle":"","family":"Smole","given":"Sandra","non-dropping-particle":"","parse-names":false,"suffix":""},{"dropping-particle":"","family":"Bozza","given":"Fernando A.","non-dropping-particle":"","parse-names":false,"suffix":""},{"dropping-particle":"","family":"Souza","given":"Thiago M.L.","non-dropping-particle":"","parse-names":false,"suffix":""},{"dropping-particle":"","family":"Isern","given":"Sharon","non-dropping-particle":"","parse-names":false,"suffix":""},{"dropping-particle":"","family":"Michael","given":"Scott F.","non-dropping-particle":"","parse-names":false,"suffix":""},{"dropping-particle":"","family":"Lorenzana","given":"Ivette","non-dropping-particle":"","parse-names":false,"suffix":""},{"dropping-particle":"","family":"Gehrke","given":"Lee","non-dropping-particle":"","parse-names":false,"suffix":""},{"dropping-particle":"","family":"Bosch","given":"Irene","non-dropping-particle":"","parse-names":false,"suffix":""},{"dropping-particle":"","family":"Ebel","given":"Gregory","non-dropping-particle":"","parse-names":false,"suffix":""},{"dropping-particle":"","family":"Grant","given":"Donald S.","non-dropping-particle":"","parse-names":false,"suffix":""},{"dropping-particle":"","family":"Happi","given":"Christian T.","non-dropping-particle":"","parse-names":false,"suffix":""},{"dropping-particle":"","family":"Park","given":"Daniel J.","non-dropping-particle":"","parse-names":false,"suffix":""},{"dropping-particle":"","family":"Gnirke","given":"Andreas","non-dropping-particle":"","parse-names":false,"suffix":""},{"dropping-particle":"","family":"Sabeti","given":"Pardis C.","non-dropping-particle":"","parse-names":false,"suffix":""},{"dropping-particle":"","family":"Matranga","given":"Christian B.","non-dropping-particle":"","parse-names":false,"suffix":""}],"container-title":"Nature Biotechnology 2019 37:2","id":"ITEM-1","issue":"2","issued":{"date-parts":[["2019","2","4"]]},"page":"160-168","publisher":"Nature Publishing Group","title":"Capturing sequence diversity in metagenomes with comprehensive and scalable probe design","type":"article-journal","volume":"37"},"uris":["http://www.mendeley.com/documents/?uuid=94795f8e-3f88-3996-884a-7d9fc3f4bbbc"]}],"mendeley":{"formattedCitation":"[20]","plainTextFormattedCitation":"[20]","previouslyFormattedCitation":"[179]"},"properties":{"noteIndex":0},"schema":"https://github.com/citation-style-language/schema/raw/master/csl-citation.json"}</w:instrText>
      </w:r>
      <w:r>
        <w:fldChar w:fldCharType="separate"/>
      </w:r>
      <w:r w:rsidR="00B94BFB" w:rsidRPr="00B94BFB">
        <w:rPr>
          <w:noProof/>
        </w:rPr>
        <w:t>[20]</w:t>
      </w:r>
      <w:r>
        <w:fldChar w:fldCharType="end"/>
      </w:r>
      <w:r>
        <w:t xml:space="preserve">, another tool, in a similar fashion. CATCH works by generating an excessively large candidate probe panel based on input sequences and then reducing the panel by solving the set cover problem. In their original </w:t>
      </w:r>
      <w:r>
        <w:lastRenderedPageBreak/>
        <w:t xml:space="preserve">publication the authors generated approximately 14,000 probes for 300 HCV genomes, but on our dataset with the closest equivalent parameters a more manageable 1,866 probes </w:t>
      </w:r>
      <w:proofErr w:type="gramStart"/>
      <w:r>
        <w:t>was</w:t>
      </w:r>
      <w:proofErr w:type="gramEnd"/>
      <w:r>
        <w:t xml:space="preserve"> generated. While there is a marginal increase in 0X coverage for our tool presented here (0.87% vs. 0.00% and 0.02%), the other tools generated 2.4 and 4.0 times more probes with an associated increase in potentially redundant depths of coverage. Maps of probe-reference alignments for a single sample of subtype HCV2a using the different tools are shown in Supplementary figure 5.7.</w:t>
      </w:r>
    </w:p>
    <w:p w14:paraId="5A4847A5" w14:textId="77777777" w:rsidR="00351F39" w:rsidRDefault="00351F39" w:rsidP="00351F39">
      <w:r>
        <w:t xml:space="preserve">Since tools that attempt to collapse either the diversity of </w:t>
      </w:r>
      <w:proofErr w:type="gramStart"/>
      <w:r>
        <w:t>a large number of</w:t>
      </w:r>
      <w:proofErr w:type="gramEnd"/>
      <w:r>
        <w:t xml:space="preserve"> input sequences before generating probes or collapse the diversity of a large number of probes themselves can be parallelized more readily, these tools can reach faster speeds than the methodology applied here. By accounting for the diversity not before or after generating probes, but during, the tool developed here is never naïve to the diversity already accounted for and is likely to generate a denser set of diverse probes that still meet the criteria provided. This methodical approach, however, will increase in runtime exponentially with more distinct input sequences and depending on the virus diversity and genome length is likely computationally unfeasible for datasets larger than approximately 1,000 sequences.</w:t>
      </w:r>
    </w:p>
    <w:tbl>
      <w:tblPr>
        <w:tblStyle w:val="TableGrid"/>
        <w:tblW w:w="9855" w:type="dxa"/>
        <w:jc w:val="center"/>
        <w:tblLook w:val="04A0" w:firstRow="1" w:lastRow="0" w:firstColumn="1" w:lastColumn="0" w:noHBand="0" w:noVBand="1"/>
      </w:tblPr>
      <w:tblGrid>
        <w:gridCol w:w="1332"/>
        <w:gridCol w:w="1302"/>
        <w:gridCol w:w="1405"/>
        <w:gridCol w:w="1860"/>
        <w:gridCol w:w="1872"/>
        <w:gridCol w:w="2084"/>
      </w:tblGrid>
      <w:tr w:rsidR="00351F39" w14:paraId="3340AA0F" w14:textId="77777777" w:rsidTr="0005439D">
        <w:trPr>
          <w:jc w:val="center"/>
        </w:trPr>
        <w:tc>
          <w:tcPr>
            <w:tcW w:w="1332" w:type="dxa"/>
          </w:tcPr>
          <w:p w14:paraId="21F16E71" w14:textId="77777777" w:rsidR="00351F39" w:rsidRDefault="00351F39" w:rsidP="0005439D">
            <w:pPr>
              <w:spacing w:line="240" w:lineRule="auto"/>
              <w:jc w:val="center"/>
            </w:pPr>
          </w:p>
        </w:tc>
        <w:tc>
          <w:tcPr>
            <w:tcW w:w="1302" w:type="dxa"/>
          </w:tcPr>
          <w:p w14:paraId="4626B54D" w14:textId="77777777" w:rsidR="00351F39" w:rsidRDefault="00351F39" w:rsidP="0005439D">
            <w:pPr>
              <w:spacing w:line="240" w:lineRule="auto"/>
              <w:jc w:val="center"/>
            </w:pPr>
            <w:r>
              <w:br/>
              <w:t>No. probes</w:t>
            </w:r>
          </w:p>
        </w:tc>
        <w:tc>
          <w:tcPr>
            <w:tcW w:w="1405" w:type="dxa"/>
          </w:tcPr>
          <w:p w14:paraId="5606130D" w14:textId="77777777" w:rsidR="00351F39" w:rsidRDefault="00351F39" w:rsidP="0005439D">
            <w:pPr>
              <w:spacing w:line="240" w:lineRule="auto"/>
              <w:jc w:val="center"/>
            </w:pPr>
            <w:r>
              <w:t>Median</w:t>
            </w:r>
            <w:r>
              <w:br/>
              <w:t>0X positions</w:t>
            </w:r>
          </w:p>
        </w:tc>
        <w:tc>
          <w:tcPr>
            <w:tcW w:w="1860" w:type="dxa"/>
          </w:tcPr>
          <w:p w14:paraId="4215CFE3" w14:textId="77777777" w:rsidR="00351F39" w:rsidRDefault="00351F39" w:rsidP="0005439D">
            <w:pPr>
              <w:spacing w:line="240" w:lineRule="auto"/>
              <w:jc w:val="center"/>
            </w:pPr>
            <w:r>
              <w:t>Median</w:t>
            </w:r>
            <w:r>
              <w:br/>
              <w:t>&gt;=10X positions</w:t>
            </w:r>
          </w:p>
        </w:tc>
        <w:tc>
          <w:tcPr>
            <w:tcW w:w="1872" w:type="dxa"/>
          </w:tcPr>
          <w:p w14:paraId="59D4FC19" w14:textId="77777777" w:rsidR="00351F39" w:rsidRDefault="00351F39" w:rsidP="0005439D">
            <w:pPr>
              <w:spacing w:line="240" w:lineRule="auto"/>
              <w:jc w:val="center"/>
            </w:pPr>
            <w:r>
              <w:t>Median</w:t>
            </w:r>
            <w:r>
              <w:br/>
              <w:t>&gt;=20X positions</w:t>
            </w:r>
          </w:p>
        </w:tc>
        <w:tc>
          <w:tcPr>
            <w:tcW w:w="2084" w:type="dxa"/>
          </w:tcPr>
          <w:p w14:paraId="5AD8339B" w14:textId="77777777" w:rsidR="00351F39" w:rsidRDefault="00351F39" w:rsidP="0005439D">
            <w:pPr>
              <w:spacing w:line="240" w:lineRule="auto"/>
              <w:jc w:val="center"/>
            </w:pPr>
            <w:r>
              <w:br/>
              <w:t>Run time</w:t>
            </w:r>
          </w:p>
        </w:tc>
      </w:tr>
      <w:tr w:rsidR="00351F39" w14:paraId="03995D6D" w14:textId="77777777" w:rsidTr="0005439D">
        <w:trPr>
          <w:jc w:val="center"/>
        </w:trPr>
        <w:tc>
          <w:tcPr>
            <w:tcW w:w="1332" w:type="dxa"/>
          </w:tcPr>
          <w:p w14:paraId="52C8D8BD" w14:textId="77777777" w:rsidR="00351F39" w:rsidRDefault="00351F39" w:rsidP="0005439D">
            <w:pPr>
              <w:spacing w:line="240" w:lineRule="auto"/>
              <w:jc w:val="center"/>
            </w:pPr>
            <w:r>
              <w:t>Our tool</w:t>
            </w:r>
          </w:p>
        </w:tc>
        <w:tc>
          <w:tcPr>
            <w:tcW w:w="1302" w:type="dxa"/>
          </w:tcPr>
          <w:p w14:paraId="7E2FBBF3" w14:textId="77777777" w:rsidR="00351F39" w:rsidRDefault="00351F39" w:rsidP="0005439D">
            <w:pPr>
              <w:spacing w:line="240" w:lineRule="auto"/>
              <w:jc w:val="center"/>
            </w:pPr>
            <w:r>
              <w:t>768</w:t>
            </w:r>
          </w:p>
        </w:tc>
        <w:tc>
          <w:tcPr>
            <w:tcW w:w="1405" w:type="dxa"/>
          </w:tcPr>
          <w:p w14:paraId="084A4BB2" w14:textId="77777777" w:rsidR="00351F39" w:rsidRDefault="00351F39" w:rsidP="0005439D">
            <w:pPr>
              <w:spacing w:line="240" w:lineRule="auto"/>
              <w:jc w:val="center"/>
            </w:pPr>
            <w:r>
              <w:t>84 (0.87%)</w:t>
            </w:r>
          </w:p>
        </w:tc>
        <w:tc>
          <w:tcPr>
            <w:tcW w:w="1860" w:type="dxa"/>
          </w:tcPr>
          <w:p w14:paraId="2546AD3A" w14:textId="77777777" w:rsidR="00351F39" w:rsidRDefault="00351F39" w:rsidP="0005439D">
            <w:pPr>
              <w:spacing w:line="240" w:lineRule="auto"/>
              <w:jc w:val="center"/>
            </w:pPr>
            <w:r>
              <w:t>125 (1.30%)</w:t>
            </w:r>
          </w:p>
        </w:tc>
        <w:tc>
          <w:tcPr>
            <w:tcW w:w="1872" w:type="dxa"/>
          </w:tcPr>
          <w:p w14:paraId="23706170" w14:textId="77777777" w:rsidR="00351F39" w:rsidRDefault="00351F39" w:rsidP="0005439D">
            <w:pPr>
              <w:spacing w:line="240" w:lineRule="auto"/>
              <w:jc w:val="center"/>
            </w:pPr>
            <w:r>
              <w:t>0 (0.00%)</w:t>
            </w:r>
          </w:p>
        </w:tc>
        <w:tc>
          <w:tcPr>
            <w:tcW w:w="2084" w:type="dxa"/>
          </w:tcPr>
          <w:p w14:paraId="2956D796" w14:textId="77777777" w:rsidR="00351F39" w:rsidRDefault="00351F39" w:rsidP="0005439D">
            <w:pPr>
              <w:spacing w:line="240" w:lineRule="auto"/>
              <w:jc w:val="center"/>
            </w:pPr>
            <w:r>
              <w:t>9 hours, 33 minutes</w:t>
            </w:r>
          </w:p>
        </w:tc>
      </w:tr>
      <w:tr w:rsidR="00351F39" w14:paraId="32BF19C2" w14:textId="77777777" w:rsidTr="0005439D">
        <w:trPr>
          <w:jc w:val="center"/>
        </w:trPr>
        <w:tc>
          <w:tcPr>
            <w:tcW w:w="1332" w:type="dxa"/>
          </w:tcPr>
          <w:p w14:paraId="2DA1E076" w14:textId="77777777" w:rsidR="00351F39" w:rsidRDefault="00351F39" w:rsidP="0005439D">
            <w:pPr>
              <w:spacing w:line="240" w:lineRule="auto"/>
              <w:jc w:val="center"/>
            </w:pPr>
            <w:r>
              <w:t>CATCH</w:t>
            </w:r>
          </w:p>
        </w:tc>
        <w:tc>
          <w:tcPr>
            <w:tcW w:w="1302" w:type="dxa"/>
          </w:tcPr>
          <w:p w14:paraId="362CDBBF" w14:textId="77777777" w:rsidR="00351F39" w:rsidRDefault="00351F39" w:rsidP="0005439D">
            <w:pPr>
              <w:spacing w:line="240" w:lineRule="auto"/>
              <w:jc w:val="center"/>
            </w:pPr>
            <w:r>
              <w:t>1,866</w:t>
            </w:r>
          </w:p>
        </w:tc>
        <w:tc>
          <w:tcPr>
            <w:tcW w:w="1405" w:type="dxa"/>
          </w:tcPr>
          <w:p w14:paraId="71F6EFCC" w14:textId="77777777" w:rsidR="00351F39" w:rsidRDefault="00351F39" w:rsidP="0005439D">
            <w:pPr>
              <w:spacing w:line="240" w:lineRule="auto"/>
              <w:jc w:val="center"/>
            </w:pPr>
            <w:r>
              <w:t>0 (0.00%)</w:t>
            </w:r>
          </w:p>
        </w:tc>
        <w:tc>
          <w:tcPr>
            <w:tcW w:w="1860" w:type="dxa"/>
          </w:tcPr>
          <w:p w14:paraId="295A54E7" w14:textId="77777777" w:rsidR="00351F39" w:rsidRDefault="00351F39" w:rsidP="0005439D">
            <w:pPr>
              <w:tabs>
                <w:tab w:val="left" w:pos="270"/>
                <w:tab w:val="center" w:pos="834"/>
              </w:tabs>
              <w:spacing w:line="240" w:lineRule="auto"/>
              <w:jc w:val="center"/>
            </w:pPr>
            <w:r>
              <w:t>1,262 (13.10%)</w:t>
            </w:r>
          </w:p>
        </w:tc>
        <w:tc>
          <w:tcPr>
            <w:tcW w:w="1872" w:type="dxa"/>
          </w:tcPr>
          <w:p w14:paraId="0977FC0F" w14:textId="77777777" w:rsidR="00351F39" w:rsidRDefault="00351F39" w:rsidP="0005439D">
            <w:pPr>
              <w:tabs>
                <w:tab w:val="left" w:pos="270"/>
                <w:tab w:val="center" w:pos="834"/>
              </w:tabs>
              <w:spacing w:line="240" w:lineRule="auto"/>
              <w:jc w:val="center"/>
            </w:pPr>
            <w:r>
              <w:tab/>
              <w:t>251 (2.60%)</w:t>
            </w:r>
          </w:p>
        </w:tc>
        <w:tc>
          <w:tcPr>
            <w:tcW w:w="2084" w:type="dxa"/>
          </w:tcPr>
          <w:p w14:paraId="5B0D92A1" w14:textId="77777777" w:rsidR="00351F39" w:rsidRDefault="00351F39" w:rsidP="0005439D">
            <w:pPr>
              <w:spacing w:line="240" w:lineRule="auto"/>
              <w:jc w:val="center"/>
            </w:pPr>
            <w:r>
              <w:t>14 minutes</w:t>
            </w:r>
          </w:p>
        </w:tc>
      </w:tr>
      <w:tr w:rsidR="00351F39" w14:paraId="6F74A44D" w14:textId="77777777" w:rsidTr="0005439D">
        <w:trPr>
          <w:jc w:val="center"/>
        </w:trPr>
        <w:tc>
          <w:tcPr>
            <w:tcW w:w="1332" w:type="dxa"/>
          </w:tcPr>
          <w:p w14:paraId="684BF733" w14:textId="77777777" w:rsidR="00351F39" w:rsidRDefault="00351F39" w:rsidP="0005439D">
            <w:pPr>
              <w:spacing w:line="240" w:lineRule="auto"/>
              <w:jc w:val="center"/>
            </w:pPr>
            <w:proofErr w:type="spellStart"/>
            <w:r>
              <w:t>ProbeTools</w:t>
            </w:r>
            <w:proofErr w:type="spellEnd"/>
          </w:p>
        </w:tc>
        <w:tc>
          <w:tcPr>
            <w:tcW w:w="1302" w:type="dxa"/>
          </w:tcPr>
          <w:p w14:paraId="4557438E" w14:textId="77777777" w:rsidR="00351F39" w:rsidRDefault="00351F39" w:rsidP="0005439D">
            <w:pPr>
              <w:spacing w:line="240" w:lineRule="auto"/>
              <w:jc w:val="center"/>
            </w:pPr>
            <w:r>
              <w:t>3,100</w:t>
            </w:r>
          </w:p>
        </w:tc>
        <w:tc>
          <w:tcPr>
            <w:tcW w:w="1405" w:type="dxa"/>
          </w:tcPr>
          <w:p w14:paraId="3FC78B3B" w14:textId="77777777" w:rsidR="00351F39" w:rsidRDefault="00351F39" w:rsidP="0005439D">
            <w:pPr>
              <w:spacing w:line="240" w:lineRule="auto"/>
              <w:jc w:val="center"/>
            </w:pPr>
            <w:r>
              <w:t>2 (0.02%)</w:t>
            </w:r>
          </w:p>
        </w:tc>
        <w:tc>
          <w:tcPr>
            <w:tcW w:w="1860" w:type="dxa"/>
          </w:tcPr>
          <w:p w14:paraId="65353ECF" w14:textId="77777777" w:rsidR="00351F39" w:rsidRDefault="00351F39" w:rsidP="0005439D">
            <w:pPr>
              <w:spacing w:line="240" w:lineRule="auto"/>
              <w:jc w:val="center"/>
            </w:pPr>
            <w:r>
              <w:t>7,576 (78.55%)</w:t>
            </w:r>
          </w:p>
        </w:tc>
        <w:tc>
          <w:tcPr>
            <w:tcW w:w="1872" w:type="dxa"/>
          </w:tcPr>
          <w:p w14:paraId="46B76603" w14:textId="77777777" w:rsidR="00351F39" w:rsidRDefault="00351F39" w:rsidP="0005439D">
            <w:pPr>
              <w:spacing w:line="240" w:lineRule="auto"/>
              <w:jc w:val="center"/>
            </w:pPr>
            <w:r>
              <w:t>2,078 (21.55%)</w:t>
            </w:r>
          </w:p>
        </w:tc>
        <w:tc>
          <w:tcPr>
            <w:tcW w:w="2084" w:type="dxa"/>
          </w:tcPr>
          <w:p w14:paraId="04D160A1" w14:textId="77777777" w:rsidR="00351F39" w:rsidRDefault="00351F39" w:rsidP="0005439D">
            <w:pPr>
              <w:spacing w:line="240" w:lineRule="auto"/>
              <w:jc w:val="center"/>
            </w:pPr>
            <w:r>
              <w:t>11 minutes</w:t>
            </w:r>
          </w:p>
        </w:tc>
      </w:tr>
    </w:tbl>
    <w:p w14:paraId="68D0176E" w14:textId="77777777" w:rsidR="00351F39" w:rsidRDefault="00351F39" w:rsidP="00351F39">
      <w:pPr>
        <w:pStyle w:val="Caption"/>
      </w:pPr>
      <w:bookmarkStart w:id="12" w:name="_Toc131691413"/>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Comparison of different probe designing tools for hypervariable viral </w:t>
      </w:r>
      <w:proofErr w:type="gramStart"/>
      <w:r>
        <w:t>taxa</w:t>
      </w:r>
      <w:bookmarkEnd w:id="12"/>
      <w:proofErr w:type="gramEnd"/>
    </w:p>
    <w:p w14:paraId="121FC1BD" w14:textId="77777777" w:rsidR="00351F39" w:rsidRPr="000010D9" w:rsidRDefault="00351F39" w:rsidP="00351F39">
      <w:pPr>
        <w:pStyle w:val="Tabletext"/>
        <w:rPr>
          <w:lang w:val="en-US"/>
        </w:rPr>
      </w:pPr>
      <w:r>
        <w:rPr>
          <w:lang w:val="en-US"/>
        </w:rPr>
        <w:t xml:space="preserve">The percentages listed are relative to the median genome size of 9,645. All tools were applied to the same dataset of 212 full-genome HCV sequences across 13 subtypes. All tools were asked to create 120 </w:t>
      </w:r>
      <w:proofErr w:type="spellStart"/>
      <w:r>
        <w:rPr>
          <w:lang w:val="en-US"/>
        </w:rPr>
        <w:t>nt</w:t>
      </w:r>
      <w:proofErr w:type="spellEnd"/>
      <w:r>
        <w:rPr>
          <w:lang w:val="en-US"/>
        </w:rPr>
        <w:t xml:space="preserve"> probes using default parameters except for the threshold of similarity. Our tool uses an 80% sequence similarity threshold for generating new probes. For </w:t>
      </w:r>
      <w:proofErr w:type="spellStart"/>
      <w:r>
        <w:rPr>
          <w:lang w:val="en-US"/>
        </w:rPr>
        <w:t>ProbeTools</w:t>
      </w:r>
      <w:proofErr w:type="spellEnd"/>
      <w:r>
        <w:rPr>
          <w:lang w:val="en-US"/>
        </w:rPr>
        <w:t>, the sequence identity threshold for k-</w:t>
      </w:r>
      <w:proofErr w:type="spellStart"/>
      <w:r>
        <w:rPr>
          <w:lang w:val="en-US"/>
        </w:rPr>
        <w:t>mer</w:t>
      </w:r>
      <w:proofErr w:type="spellEnd"/>
      <w:r>
        <w:rPr>
          <w:lang w:val="en-US"/>
        </w:rPr>
        <w:t xml:space="preserve"> clustering and probe-target alignments were lowered from the default 90% to 80%. The mismatches parameter in CATCH was increased to 24 for an 80% sequence similarity comparable to the other tools. </w:t>
      </w:r>
    </w:p>
    <w:p w14:paraId="67581CEA" w14:textId="70ADF182" w:rsidR="00351F39" w:rsidRDefault="00351F39" w:rsidP="00351F39">
      <w:r>
        <w:t xml:space="preserve">In benchmarking and optimization of the tool, we found that lowering the accepted threshold of probe-to-sequence similarity reduces the number of final probes in the pool considerably. For the dataset above our tool produced a panel of 455, 768 and </w:t>
      </w:r>
      <w:r w:rsidR="00B94BFB">
        <w:t>1,200</w:t>
      </w:r>
      <w:r>
        <w:t xml:space="preserve"> probes for a sequence similarity threshold of 75%, 80%, and 85%, respectively. Ultimately, the sequence similarity threshold should be established based on the expected diversity of the viral taxa, available data, the research question, and financial limitations. Despite many algorithms such as CATCH, </w:t>
      </w:r>
      <w:proofErr w:type="spellStart"/>
      <w:r>
        <w:t>ProbeTools</w:t>
      </w:r>
      <w:proofErr w:type="spellEnd"/>
      <w:r>
        <w:t xml:space="preserve">, and solutions that predate them often using stricter criteria </w:t>
      </w:r>
      <w:r>
        <w:lastRenderedPageBreak/>
        <w:t xml:space="preserve">for probe design  </w:t>
      </w:r>
      <w:r>
        <w:fldChar w:fldCharType="begin" w:fldLock="1"/>
      </w:r>
      <w:r w:rsidR="00B94BFB">
        <w:instrText>ADDIN CSL_CITATION {"citationItems":[{"id":"ITEM-1","itemData":{"DOI":"10.1101/GR.226316.117/-/DC1","ISSN":"15495469","PMID":"29703817","abstract":"Next generation sequencing (NGS) technologies have revolutionized the genomics field and are becoming more commonplace for identification of human infectious diseases. However, due to the low abundance of viral nucleic acids (NAs) in relation to host, viral identification using direct NGS technologies often lacks sufficient sensitivity. Here, we describe an approach based on two complementary enrichment strategies that significantly improves the sensitivity of NGS-based virus identification. To start, we developed two sets of DNA probes to enrich virus NAs associated with respiratory diseases. The first set of probes spans the genomes, allowing for identification of known viruses and full genome sequencing, while the second set targets regions conserved among viral families or genera, providing the ability to detect both known and potentially novel members of those virus groups. Efficiency of enrichment was assessed by NGS testing reference virus and clinical samples with known infection. We show significant improvement in viral identification using enriched NGS compared to unenriched NGS. Without enrichment, we observed an average of 0.3% targeted viral reads per sample. However, after enrichment, 50%–99% of the reads per sample were the targeted viral reads for both the reference isolates and clinical specimens using both probe sets. Importantly, dramatic improvements on genome coverage were also observed following virus-specific probe enrichment. The methods described here provide improved sensitivity for virus identification by NGS, allowing for a more comprehensive analysis of disease etiology.","author":[{"dropping-particle":"","family":"O’Flaherty","given":"Brigid M.","non-dropping-particle":"","parse-names":false,"suffix":""},{"dropping-particle":"","family":"Li","given":"Yan","non-dropping-particle":"","parse-names":false,"suffix":""},{"dropping-particle":"","family":"Tao","given":"Ying","non-dropping-particle":"","parse-names":false,"suffix":""},{"dropping-particle":"","family":"Paden","given":"Clinton R.","non-dropping-particle":"","parse-names":false,"suffix":""},{"dropping-particle":"","family":"Queen","given":"Krista","non-dropping-particle":"","parse-names":false,"suffix":""},{"dropping-particle":"","family":"Zhang","given":"Jing","non-dropping-particle":"","parse-names":false,"suffix":""},{"dropping-particle":"","family":"Dinwiddie","given":"Darrell L.","non-dropping-particle":"","parse-names":false,"suffix":""},{"dropping-particle":"","family":"Gross","given":"Stephen M.","non-dropping-particle":"","parse-names":false,"suffix":""},{"dropping-particle":"","family":"Schroth","given":"Gary P.","non-dropping-particle":"","parse-names":false,"suffix":""},{"dropping-particle":"","family":"Tong","given":"Suxiang","non-dropping-particle":"","parse-names":false,"suffix":""}],"container-title":"Genome Research","id":"ITEM-1","issue":"6","issued":{"date-parts":[["2018","6","1"]]},"page":"869-877","publisher":"Cold Spring Harbor Laboratory Press","title":"Comprehensive viral enrichment enables sensitive respiratory virus genomic identification and analysis by next generation sequencing","type":"article-journal","volume":"28"},"uris":["http://www.mendeley.com/documents/?uuid=e9a1e5ca-3454-4b66-b873-49588b973a81"]},{"id":"ITEM-2","itemData":{"DOI":"10.1128/MBIO.01491-15","ISSN":"2150-7511","PMID":"26396248","abstract":"Insensitivity and technical complexity have impeded the implementation of high-throughput nucleic acid sequencing in differential diagnosis of viral infections in clinical laboratories. Here, we describe the development of a virome capture sequencing platform for vertebrate viruses (VirCapSeq-VERT) that increases the sensitivity of sequence-based virus detection and characterization. The system uses ~2 million probes that cover the genomes of members of the 207 viral taxa known to infect vertebrates, including humans. A biotinylated oligonucleotide library was synthesized on the NimbleGen cleavable array platform and used for solution-based capture of viral nucleic acids present in complex samples containing variable proportions of viral and host nucleic acids. The use of VirCapSeq-VERT resulted in a 100-to 10,000-fold increase in viral reads from blood and tissue homogenates compared to conventional Illumina sequencing using established virus enrichment procedures, including filtration, nuclease treatments, and RiboZero rRNA subtraction. VirCapSeq-VERT had a limit of detection comparable to that of agent-specific real-time PCR in serum, blood, and tissue extracts. Furthermore, the method identified novel viruses whose genomes were approximately 40% different from the known virus genomes used for designing the probe library. The VirCapSeq-VERT platform is ideally suited for analyses of virome composition and dynamics.","author":[{"dropping-particle":"","family":"Briese","given":"Thomas","non-dropping-particle":"","parse-names":false,"suffix":""},{"dropping-particle":"","family":"Kapoor","given":"Amit","non-dropping-particle":"","parse-names":false,"suffix":""},{"dropping-particle":"","family":"Mishra","given":"Nischay","non-dropping-particle":"","parse-names":false,"suffix":""},{"dropping-particle":"","family":"Jain","given":"Komal","non-dropping-particle":"","parse-names":false,"suffix":""},{"dropping-particle":"","family":"Kumar","given":"Arvind","non-dropping-particle":"","parse-names":false,"suffix":""},{"dropping-particle":"","family":"Jabado","given":"Omar J.","non-dropping-particle":"","parse-names":false,"suffix":""},{"dropping-particle":"","family":"Ian Lipkina","given":"W.","non-dropping-particle":"","parse-names":false,"suffix":""}],"container-title":"mBio","id":"ITEM-2","issue":"5","issued":{"date-parts":[["2015"]]},"publisher":"mBio","title":"Virome Capture Sequencing Enables Sensitive Viral Diagnosis and Comprehensive Virome Analysis","type":"article-journal","volume":"6"},"uris":["http://www.mendeley.com/documents/?uuid=7de91cfa-c252-3512-875d-f864a843d906"]}],"mendeley":{"formattedCitation":"[12,21]","plainTextFormattedCitation":"[12,21]","previouslyFormattedCitation":"[172,180]"},"properties":{"noteIndex":0},"schema":"https://github.com/citation-style-language/schema/raw/master/csl-citation.json"}</w:instrText>
      </w:r>
      <w:r>
        <w:fldChar w:fldCharType="separate"/>
      </w:r>
      <w:r w:rsidR="00B94BFB" w:rsidRPr="00B94BFB">
        <w:rPr>
          <w:noProof/>
        </w:rPr>
        <w:t>[12,21]</w:t>
      </w:r>
      <w:r>
        <w:fldChar w:fldCharType="end"/>
      </w:r>
      <w:r>
        <w:t xml:space="preserve">, we settled on 80% as it has been suggested specifically in the context of HCV as an experimentally determined threshold for effective enrichment </w:t>
      </w:r>
      <w:r>
        <w:fldChar w:fldCharType="begin" w:fldLock="1"/>
      </w:r>
      <w:r w:rsidR="00B94BFB">
        <w:instrText>ADDIN CSL_CITATION {"citationItems":[{"id":"ITEM-1","itemData":{"DOI":"10.12688/f1000research.7111.1","ISSN":"2046-1402 (Print)","PMID":"27092241","abstract":"The routine availability of high-depth virus sequence data would allow the sensitive detection of resistance-associated variants that can jeopardize HIV or hepatitis C virus (HCV) treatment. We introduce ve-SEQ, a high-throughput method for sequence-specific enrichment and characterization of whole-virus genomes at up to 20% divergence from a reference sequence and 1,000-fold greater sensitivity than direct sequencing. The extreme genetic diversity of HCV led us to implement an algorithm for the efficient design of panels of oligonucleotide probes to capture any sequence among a defined set of targets without detectable bias. ve-SEQ enables efficient detection and sequencing of any HCV genome, including mixtures and intra-host variants, in a single experiment, with greater tolerance of sequence diversity than standard amplification methods and greater sensitivity than metagenomic sequencing, features that are directly applicable to other pathogens or arbitrary groups of target organisms, allowing the combination of sensitive detection with sequencing in many settings.","author":[{"dropping-particle":"","family":"Bonsall","given":"David","non-dropping-particle":"","parse-names":false,"suffix":""},{"dropping-particle":"","family":"Ansari","given":"M Azim","non-dropping-particle":"","parse-names":false,"suffix":""},{"dropping-particle":"","family":"Ip","given":"Camilla","non-dropping-particle":"","parse-names":false,"suffix":""},{"dropping-particle":"","family":"Trebes","given":"Amy","non-dropping-particle":"","parse-names":false,"suffix":""},{"dropping-particle":"","family":"Brown","given":"Anthony","non-dropping-particle":"","parse-names":false,"suffix":""},{"dropping-particle":"","family":"Klenerman","given":"Paul","non-dropping-particle":"","parse-names":false,"suffix":""},{"dropping-particle":"","family":"Buck","given":"David","non-dropping-particle":"","parse-names":false,"suffix":""},{"dropping-particle":"","family":"STOP-HCV Consortium","given":"","non-dropping-particle":"","parse-names":false,"suffix":""},{"dropping-particle":"","family":"Piazza","given":"Paolo","non-dropping-particle":"","parse-names":false,"suffix":""},{"dropping-particle":"","family":"Barnes","given":"Eleanor","non-dropping-particle":"","parse-names":false,"suffix":""},{"dropping-particle":"","family":"Bowden","given":"Rory","non-dropping-particle":"","parse-names":false,"suffix":""}],"container-title":"F1000Research","id":"ITEM-1","issued":{"date-parts":[["2015"]]},"language":"eng","page":"1062","publisher":"Faculty of 1000 Ltd","publisher-place":"England","title":"ve-SEQ: Robust, unbiased enrichment for streamlined detection and whole-genome sequencing of HCV and other highly diverse pathogens.","type":"article-journal","volume":"4"},"uris":["http://www.mendeley.com/documents/?uuid=dd3d318a-25c8-4628-a7ce-a5a62683facf"]}],"mendeley":{"formattedCitation":"[6]","plainTextFormattedCitation":"[6]","previouslyFormattedCitation":"[66]"},"properties":{"noteIndex":0},"schema":"https://github.com/citation-style-language/schema/raw/master/csl-citation.json"}</w:instrText>
      </w:r>
      <w:r>
        <w:fldChar w:fldCharType="separate"/>
      </w:r>
      <w:r w:rsidR="00B94BFB" w:rsidRPr="00B94BFB">
        <w:rPr>
          <w:noProof/>
        </w:rPr>
        <w:t>[6]</w:t>
      </w:r>
      <w:r>
        <w:fldChar w:fldCharType="end"/>
      </w:r>
      <w:r>
        <w:t>.</w:t>
      </w:r>
    </w:p>
    <w:p w14:paraId="3A5A321F" w14:textId="77777777" w:rsidR="00351F39" w:rsidRPr="00FF30E6" w:rsidRDefault="00351F39" w:rsidP="00351F39">
      <w:pPr>
        <w:pStyle w:val="Heading2"/>
      </w:pPr>
      <w:bookmarkStart w:id="13" w:name="_Toc131691393"/>
      <w:r>
        <w:t>Conclusion</w:t>
      </w:r>
      <w:bookmarkEnd w:id="13"/>
    </w:p>
    <w:p w14:paraId="3141A56E" w14:textId="77777777" w:rsidR="00351F39" w:rsidRDefault="00351F39" w:rsidP="00351F39">
      <w:r>
        <w:t xml:space="preserve">We present a new tool to produce a panel of probes for enrichment of highly variable viral taxa. The pipeline is flexible, easy to use, performs a quality assessment step upon completion, and generates figures to help evaluation of the proposed probe panel. The tool is publicly available at: </w:t>
      </w:r>
    </w:p>
    <w:p w14:paraId="3E744274" w14:textId="77777777" w:rsidR="00351F39" w:rsidRDefault="00351F39" w:rsidP="00351F39">
      <w:r w:rsidRPr="00C61D3D">
        <w:rPr>
          <w:i/>
          <w:iCs/>
        </w:rPr>
        <w:t>https://github.com/ThorhaugeDK/Viral_Probe_Designer/</w:t>
      </w:r>
      <w:r>
        <w:br w:type="page"/>
      </w:r>
    </w:p>
    <w:p w14:paraId="0D263FA6" w14:textId="77777777" w:rsidR="00351F39" w:rsidRDefault="00351F39" w:rsidP="00351F39">
      <w:pPr>
        <w:pStyle w:val="Heading2"/>
      </w:pPr>
      <w:bookmarkStart w:id="14" w:name="_Toc131691394"/>
      <w:r>
        <w:lastRenderedPageBreak/>
        <w:t>Supplementary Materials</w:t>
      </w:r>
      <w:bookmarkEnd w:id="14"/>
      <w:r>
        <w:t xml:space="preserve"> </w:t>
      </w:r>
    </w:p>
    <w:p w14:paraId="0F647F2D" w14:textId="77777777" w:rsidR="00351F39" w:rsidRDefault="00351F39" w:rsidP="00351F39">
      <w:pPr>
        <w:pStyle w:val="Heading3"/>
      </w:pPr>
      <w:bookmarkStart w:id="15" w:name="_Toc131691395"/>
      <w:r>
        <w:t xml:space="preserve">Launch </w:t>
      </w:r>
      <w:proofErr w:type="gramStart"/>
      <w:r>
        <w:t>parameters</w:t>
      </w:r>
      <w:bookmarkEnd w:id="15"/>
      <w:proofErr w:type="gramEnd"/>
    </w:p>
    <w:p w14:paraId="1D6F99D9" w14:textId="77777777" w:rsidR="00351F39" w:rsidRDefault="00351F39" w:rsidP="00351F39">
      <w:r>
        <w:t xml:space="preserve">The probe design tool supports </w:t>
      </w:r>
      <w:proofErr w:type="gramStart"/>
      <w:r>
        <w:t>a number of</w:t>
      </w:r>
      <w:proofErr w:type="gramEnd"/>
      <w:r>
        <w:t xml:space="preserve"> options to tailor the final probe count and affinities. Table 5.2 gives an overview of the parameters and their function.</w:t>
      </w:r>
    </w:p>
    <w:p w14:paraId="5D6DCBA8" w14:textId="77777777" w:rsidR="00351F39" w:rsidRDefault="00351F39" w:rsidP="00351F39">
      <w:pPr>
        <w:pStyle w:val="Caption"/>
        <w:keepNext/>
      </w:pPr>
      <w:bookmarkStart w:id="16" w:name="_Toc131691414"/>
      <w:r>
        <w:t xml:space="preserve">Supplementary 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2</w:t>
      </w:r>
      <w:r>
        <w:fldChar w:fldCharType="end"/>
      </w:r>
      <w:r>
        <w:t xml:space="preserve"> List of launch options for probe design algorithm</w:t>
      </w:r>
      <w:bookmarkEnd w:id="16"/>
    </w:p>
    <w:tbl>
      <w:tblPr>
        <w:tblW w:w="8993" w:type="dxa"/>
        <w:tblInd w:w="113" w:type="dxa"/>
        <w:tblLook w:val="04A0" w:firstRow="1" w:lastRow="0" w:firstColumn="1" w:lastColumn="0" w:noHBand="0" w:noVBand="1"/>
      </w:tblPr>
      <w:tblGrid>
        <w:gridCol w:w="630"/>
        <w:gridCol w:w="3483"/>
        <w:gridCol w:w="4880"/>
      </w:tblGrid>
      <w:tr w:rsidR="00351F39" w:rsidRPr="00411B16" w14:paraId="3C213314" w14:textId="77777777" w:rsidTr="0005439D">
        <w:trPr>
          <w:trHeight w:val="300"/>
        </w:trPr>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14:paraId="582AE437" w14:textId="77777777" w:rsidR="00351F39" w:rsidRPr="00411B16" w:rsidRDefault="00351F39" w:rsidP="0005439D">
            <w:pPr>
              <w:spacing w:after="0" w:line="240" w:lineRule="auto"/>
              <w:jc w:val="center"/>
              <w:rPr>
                <w:rFonts w:ascii="Calibri" w:hAnsi="Calibri" w:cs="Calibri"/>
                <w:b/>
                <w:bCs/>
                <w:color w:val="000000"/>
                <w:lang w:val="en-GB" w:eastAsia="en-GB"/>
              </w:rPr>
            </w:pPr>
            <w:proofErr w:type="spellStart"/>
            <w:r w:rsidRPr="00411B16">
              <w:rPr>
                <w:rFonts w:ascii="Calibri" w:hAnsi="Calibri" w:cs="Calibri"/>
                <w:b/>
                <w:bCs/>
                <w:color w:val="000000"/>
                <w:sz w:val="22"/>
                <w:szCs w:val="22"/>
                <w:lang w:val="en-GB" w:eastAsia="en-GB"/>
              </w:rPr>
              <w:t>Cmd</w:t>
            </w:r>
            <w:proofErr w:type="spellEnd"/>
          </w:p>
        </w:tc>
        <w:tc>
          <w:tcPr>
            <w:tcW w:w="3483" w:type="dxa"/>
            <w:tcBorders>
              <w:top w:val="single" w:sz="4" w:space="0" w:color="auto"/>
              <w:left w:val="nil"/>
              <w:bottom w:val="single" w:sz="4" w:space="0" w:color="auto"/>
              <w:right w:val="single" w:sz="4" w:space="0" w:color="auto"/>
            </w:tcBorders>
            <w:shd w:val="clear" w:color="auto" w:fill="auto"/>
            <w:vAlign w:val="center"/>
          </w:tcPr>
          <w:p w14:paraId="0081F950" w14:textId="77777777" w:rsidR="00351F39" w:rsidRPr="00411B16" w:rsidRDefault="00351F39" w:rsidP="0005439D">
            <w:pPr>
              <w:spacing w:after="0" w:line="240" w:lineRule="auto"/>
              <w:jc w:val="left"/>
              <w:rPr>
                <w:rFonts w:ascii="Calibri" w:hAnsi="Calibri" w:cs="Calibri"/>
                <w:b/>
                <w:bCs/>
                <w:color w:val="000000"/>
                <w:lang w:val="en-GB" w:eastAsia="en-GB"/>
              </w:rPr>
            </w:pPr>
            <w:r w:rsidRPr="00411B16">
              <w:rPr>
                <w:rFonts w:ascii="Calibri" w:hAnsi="Calibri" w:cs="Calibri"/>
                <w:b/>
                <w:bCs/>
                <w:color w:val="000000"/>
                <w:sz w:val="22"/>
                <w:szCs w:val="22"/>
                <w:lang w:val="en-GB" w:eastAsia="en-GB"/>
              </w:rPr>
              <w:t>Alternative</w:t>
            </w:r>
          </w:p>
        </w:tc>
        <w:tc>
          <w:tcPr>
            <w:tcW w:w="4880" w:type="dxa"/>
            <w:tcBorders>
              <w:top w:val="single" w:sz="4" w:space="0" w:color="auto"/>
              <w:left w:val="nil"/>
              <w:bottom w:val="single" w:sz="4" w:space="0" w:color="auto"/>
              <w:right w:val="single" w:sz="4" w:space="0" w:color="auto"/>
            </w:tcBorders>
            <w:shd w:val="clear" w:color="auto" w:fill="auto"/>
            <w:vAlign w:val="center"/>
          </w:tcPr>
          <w:p w14:paraId="154611AF" w14:textId="77777777" w:rsidR="00351F39" w:rsidRPr="00411B16" w:rsidRDefault="00351F39" w:rsidP="0005439D">
            <w:pPr>
              <w:spacing w:after="0" w:line="240" w:lineRule="auto"/>
              <w:jc w:val="left"/>
              <w:rPr>
                <w:rFonts w:ascii="Calibri" w:hAnsi="Calibri" w:cs="Calibri"/>
                <w:b/>
                <w:bCs/>
                <w:color w:val="000000"/>
                <w:lang w:val="en-GB" w:eastAsia="en-GB"/>
              </w:rPr>
            </w:pPr>
            <w:r w:rsidRPr="00411B16">
              <w:rPr>
                <w:rFonts w:ascii="Calibri" w:hAnsi="Calibri" w:cs="Calibri"/>
                <w:b/>
                <w:bCs/>
                <w:color w:val="000000"/>
                <w:sz w:val="22"/>
                <w:szCs w:val="22"/>
                <w:lang w:val="en-GB" w:eastAsia="en-GB"/>
              </w:rPr>
              <w:t>Function</w:t>
            </w:r>
          </w:p>
        </w:tc>
      </w:tr>
      <w:tr w:rsidR="00351F39" w:rsidRPr="00411B16" w14:paraId="31EDADBC" w14:textId="77777777" w:rsidTr="0005439D">
        <w:trPr>
          <w:trHeight w:val="300"/>
        </w:trPr>
        <w:tc>
          <w:tcPr>
            <w:tcW w:w="6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B156B3" w14:textId="77777777" w:rsidR="00351F39" w:rsidRPr="00411B16" w:rsidRDefault="00351F39" w:rsidP="0005439D">
            <w:pPr>
              <w:spacing w:after="0" w:line="240" w:lineRule="auto"/>
              <w:jc w:val="center"/>
              <w:rPr>
                <w:rFonts w:ascii="Calibri" w:hAnsi="Calibri" w:cs="Calibri"/>
                <w:color w:val="000000"/>
                <w:lang w:val="en-GB" w:eastAsia="en-GB"/>
              </w:rPr>
            </w:pPr>
            <w:r w:rsidRPr="00411B16">
              <w:rPr>
                <w:rFonts w:ascii="Calibri" w:hAnsi="Calibri" w:cs="Calibri"/>
                <w:color w:val="000000"/>
                <w:sz w:val="22"/>
                <w:szCs w:val="22"/>
                <w:lang w:val="en-GB" w:eastAsia="en-GB"/>
              </w:rPr>
              <w:t> </w:t>
            </w:r>
          </w:p>
        </w:tc>
        <w:tc>
          <w:tcPr>
            <w:tcW w:w="3483" w:type="dxa"/>
            <w:tcBorders>
              <w:top w:val="single" w:sz="4" w:space="0" w:color="auto"/>
              <w:left w:val="nil"/>
              <w:bottom w:val="single" w:sz="4" w:space="0" w:color="auto"/>
              <w:right w:val="single" w:sz="4" w:space="0" w:color="auto"/>
            </w:tcBorders>
            <w:shd w:val="clear" w:color="auto" w:fill="auto"/>
            <w:vAlign w:val="center"/>
            <w:hideMark/>
          </w:tcPr>
          <w:p w14:paraId="0E57FDAD" w14:textId="77777777" w:rsidR="00351F39" w:rsidRPr="00411B16" w:rsidRDefault="00351F39" w:rsidP="0005439D">
            <w:pPr>
              <w:spacing w:after="0" w:line="240" w:lineRule="auto"/>
              <w:jc w:val="left"/>
              <w:rPr>
                <w:rFonts w:ascii="Calibri" w:hAnsi="Calibri" w:cs="Calibri"/>
                <w:color w:val="000000"/>
                <w:lang w:val="en-GB" w:eastAsia="en-GB"/>
              </w:rPr>
            </w:pPr>
            <w:proofErr w:type="spellStart"/>
            <w:r w:rsidRPr="00411B16">
              <w:rPr>
                <w:rFonts w:ascii="Calibri" w:hAnsi="Calibri" w:cs="Calibri"/>
                <w:color w:val="000000"/>
                <w:sz w:val="22"/>
                <w:szCs w:val="22"/>
                <w:lang w:val="en-GB" w:eastAsia="en-GB"/>
              </w:rPr>
              <w:t>references_path</w:t>
            </w:r>
            <w:proofErr w:type="spellEnd"/>
          </w:p>
        </w:tc>
        <w:tc>
          <w:tcPr>
            <w:tcW w:w="4880" w:type="dxa"/>
            <w:tcBorders>
              <w:top w:val="single" w:sz="4" w:space="0" w:color="auto"/>
              <w:left w:val="nil"/>
              <w:bottom w:val="single" w:sz="4" w:space="0" w:color="auto"/>
              <w:right w:val="single" w:sz="4" w:space="0" w:color="auto"/>
            </w:tcBorders>
            <w:shd w:val="clear" w:color="auto" w:fill="auto"/>
            <w:vAlign w:val="center"/>
            <w:hideMark/>
          </w:tcPr>
          <w:p w14:paraId="60AB97DC" w14:textId="77777777" w:rsidR="00351F39" w:rsidRPr="00411B16" w:rsidRDefault="00351F39" w:rsidP="0005439D">
            <w:pPr>
              <w:spacing w:after="0" w:line="240" w:lineRule="auto"/>
              <w:jc w:val="left"/>
              <w:rPr>
                <w:rFonts w:ascii="Calibri" w:hAnsi="Calibri" w:cs="Calibri"/>
                <w:color w:val="000000"/>
                <w:lang w:val="en-GB" w:eastAsia="en-GB"/>
              </w:rPr>
            </w:pPr>
            <w:r w:rsidRPr="00411B16">
              <w:rPr>
                <w:rFonts w:ascii="Calibri" w:hAnsi="Calibri" w:cs="Calibri"/>
                <w:color w:val="000000"/>
                <w:sz w:val="22"/>
                <w:szCs w:val="22"/>
                <w:lang w:val="en-GB" w:eastAsia="en-GB"/>
              </w:rPr>
              <w:t>The full path to the references. This is mandatory.</w:t>
            </w:r>
          </w:p>
        </w:tc>
      </w:tr>
      <w:tr w:rsidR="00351F39" w:rsidRPr="00411B16" w14:paraId="1BEBBEB2" w14:textId="77777777" w:rsidTr="0005439D">
        <w:trPr>
          <w:trHeight w:val="600"/>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062EE4D6" w14:textId="77777777" w:rsidR="00351F39" w:rsidRPr="00411B16" w:rsidRDefault="00351F39" w:rsidP="0005439D">
            <w:pPr>
              <w:spacing w:after="0" w:line="240" w:lineRule="auto"/>
              <w:jc w:val="center"/>
              <w:rPr>
                <w:rFonts w:ascii="Calibri" w:hAnsi="Calibri" w:cs="Calibri"/>
                <w:color w:val="000000"/>
                <w:lang w:val="en-GB" w:eastAsia="en-GB"/>
              </w:rPr>
            </w:pPr>
            <w:r w:rsidRPr="00411B16">
              <w:rPr>
                <w:rFonts w:ascii="Calibri" w:hAnsi="Calibri" w:cs="Calibri"/>
                <w:color w:val="000000"/>
                <w:sz w:val="22"/>
                <w:szCs w:val="22"/>
                <w:lang w:val="en-GB" w:eastAsia="en-GB"/>
              </w:rPr>
              <w:t>-s</w:t>
            </w:r>
          </w:p>
        </w:tc>
        <w:tc>
          <w:tcPr>
            <w:tcW w:w="3483" w:type="dxa"/>
            <w:tcBorders>
              <w:top w:val="nil"/>
              <w:left w:val="nil"/>
              <w:bottom w:val="single" w:sz="4" w:space="0" w:color="auto"/>
              <w:right w:val="single" w:sz="4" w:space="0" w:color="auto"/>
            </w:tcBorders>
            <w:shd w:val="clear" w:color="auto" w:fill="auto"/>
            <w:vAlign w:val="center"/>
            <w:hideMark/>
          </w:tcPr>
          <w:p w14:paraId="500D898F" w14:textId="77777777" w:rsidR="00351F39" w:rsidRPr="00411B16" w:rsidRDefault="00351F39" w:rsidP="0005439D">
            <w:pPr>
              <w:spacing w:after="0" w:line="240" w:lineRule="auto"/>
              <w:jc w:val="left"/>
              <w:rPr>
                <w:rFonts w:ascii="Calibri" w:hAnsi="Calibri" w:cs="Calibri"/>
                <w:color w:val="000000"/>
                <w:lang w:val="en-GB" w:eastAsia="en-GB"/>
              </w:rPr>
            </w:pPr>
            <w:r w:rsidRPr="00411B16">
              <w:rPr>
                <w:rFonts w:ascii="Calibri" w:hAnsi="Calibri" w:cs="Calibri"/>
                <w:color w:val="000000"/>
                <w:sz w:val="22"/>
                <w:szCs w:val="22"/>
                <w:lang w:val="en-GB" w:eastAsia="en-GB"/>
              </w:rPr>
              <w:t>--similarity [float, default=0.80]</w:t>
            </w:r>
          </w:p>
        </w:tc>
        <w:tc>
          <w:tcPr>
            <w:tcW w:w="4880" w:type="dxa"/>
            <w:tcBorders>
              <w:top w:val="nil"/>
              <w:left w:val="nil"/>
              <w:bottom w:val="single" w:sz="4" w:space="0" w:color="auto"/>
              <w:right w:val="single" w:sz="4" w:space="0" w:color="auto"/>
            </w:tcBorders>
            <w:shd w:val="clear" w:color="auto" w:fill="auto"/>
            <w:vAlign w:val="center"/>
            <w:hideMark/>
          </w:tcPr>
          <w:p w14:paraId="3263060C" w14:textId="77777777" w:rsidR="00351F39" w:rsidRPr="00411B16" w:rsidRDefault="00351F39" w:rsidP="0005439D">
            <w:pPr>
              <w:spacing w:after="0" w:line="240" w:lineRule="auto"/>
              <w:jc w:val="left"/>
              <w:rPr>
                <w:rFonts w:ascii="Calibri" w:hAnsi="Calibri" w:cs="Calibri"/>
                <w:color w:val="000000"/>
                <w:lang w:val="en-GB" w:eastAsia="en-GB"/>
              </w:rPr>
            </w:pPr>
            <w:r w:rsidRPr="00411B16">
              <w:rPr>
                <w:rFonts w:ascii="Calibri" w:hAnsi="Calibri" w:cs="Calibri"/>
                <w:color w:val="000000"/>
                <w:sz w:val="22"/>
                <w:szCs w:val="22"/>
                <w:lang w:val="en-GB" w:eastAsia="en-GB"/>
              </w:rPr>
              <w:t xml:space="preserve">Insert a value between 0 and 1 of the similarity </w:t>
            </w:r>
            <w:r>
              <w:rPr>
                <w:rFonts w:ascii="Calibri" w:hAnsi="Calibri" w:cs="Calibri"/>
                <w:color w:val="000000"/>
                <w:sz w:val="22"/>
                <w:szCs w:val="22"/>
                <w:lang w:val="en-GB" w:eastAsia="en-GB"/>
              </w:rPr>
              <w:t xml:space="preserve">acceptance </w:t>
            </w:r>
            <w:proofErr w:type="gramStart"/>
            <w:r w:rsidRPr="00411B16">
              <w:rPr>
                <w:rFonts w:ascii="Calibri" w:hAnsi="Calibri" w:cs="Calibri"/>
                <w:color w:val="000000"/>
                <w:sz w:val="22"/>
                <w:szCs w:val="22"/>
                <w:lang w:val="en-GB" w:eastAsia="en-GB"/>
              </w:rPr>
              <w:t>threshold</w:t>
            </w:r>
            <w:proofErr w:type="gramEnd"/>
            <w:r w:rsidRPr="00411B16">
              <w:rPr>
                <w:rFonts w:ascii="Calibri" w:hAnsi="Calibri" w:cs="Calibri"/>
                <w:color w:val="000000"/>
                <w:sz w:val="22"/>
                <w:szCs w:val="22"/>
                <w:lang w:val="en-GB" w:eastAsia="en-GB"/>
              </w:rPr>
              <w:t xml:space="preserve"> between probe and reference</w:t>
            </w:r>
          </w:p>
        </w:tc>
      </w:tr>
      <w:tr w:rsidR="00351F39" w:rsidRPr="00411B16" w14:paraId="47CB9E6F" w14:textId="77777777" w:rsidTr="0005439D">
        <w:trPr>
          <w:trHeight w:val="600"/>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3DFF7F51" w14:textId="77777777" w:rsidR="00351F39" w:rsidRPr="00411B16" w:rsidRDefault="00351F39" w:rsidP="0005439D">
            <w:pPr>
              <w:spacing w:after="0" w:line="240" w:lineRule="auto"/>
              <w:jc w:val="center"/>
              <w:rPr>
                <w:rFonts w:ascii="Calibri" w:hAnsi="Calibri" w:cs="Calibri"/>
                <w:color w:val="000000"/>
                <w:lang w:val="en-GB" w:eastAsia="en-GB"/>
              </w:rPr>
            </w:pPr>
            <w:r w:rsidRPr="00411B16">
              <w:rPr>
                <w:rFonts w:ascii="Calibri" w:hAnsi="Calibri" w:cs="Calibri"/>
                <w:color w:val="000000"/>
                <w:sz w:val="22"/>
                <w:szCs w:val="22"/>
                <w:lang w:val="en-GB" w:eastAsia="en-GB"/>
              </w:rPr>
              <w:t>-t</w:t>
            </w:r>
          </w:p>
        </w:tc>
        <w:tc>
          <w:tcPr>
            <w:tcW w:w="3483" w:type="dxa"/>
            <w:tcBorders>
              <w:top w:val="nil"/>
              <w:left w:val="nil"/>
              <w:bottom w:val="single" w:sz="4" w:space="0" w:color="auto"/>
              <w:right w:val="single" w:sz="4" w:space="0" w:color="auto"/>
            </w:tcBorders>
            <w:shd w:val="clear" w:color="auto" w:fill="auto"/>
            <w:vAlign w:val="center"/>
            <w:hideMark/>
          </w:tcPr>
          <w:p w14:paraId="0DC4194D" w14:textId="77777777" w:rsidR="00351F39" w:rsidRPr="00411B16" w:rsidRDefault="00351F39" w:rsidP="0005439D">
            <w:pPr>
              <w:spacing w:after="0" w:line="240" w:lineRule="auto"/>
              <w:jc w:val="left"/>
              <w:rPr>
                <w:rFonts w:ascii="Calibri" w:hAnsi="Calibri" w:cs="Calibri"/>
                <w:color w:val="000000"/>
                <w:lang w:val="en-GB" w:eastAsia="en-GB"/>
              </w:rPr>
            </w:pPr>
            <w:r w:rsidRPr="00411B16">
              <w:rPr>
                <w:rFonts w:ascii="Calibri" w:hAnsi="Calibri" w:cs="Calibri"/>
                <w:color w:val="000000"/>
                <w:sz w:val="22"/>
                <w:szCs w:val="22"/>
                <w:lang w:val="en-GB" w:eastAsia="en-GB"/>
              </w:rPr>
              <w:t>--threads [int, default=1]</w:t>
            </w:r>
          </w:p>
        </w:tc>
        <w:tc>
          <w:tcPr>
            <w:tcW w:w="4880" w:type="dxa"/>
            <w:tcBorders>
              <w:top w:val="nil"/>
              <w:left w:val="nil"/>
              <w:bottom w:val="single" w:sz="4" w:space="0" w:color="auto"/>
              <w:right w:val="single" w:sz="4" w:space="0" w:color="auto"/>
            </w:tcBorders>
            <w:shd w:val="clear" w:color="auto" w:fill="auto"/>
            <w:vAlign w:val="center"/>
            <w:hideMark/>
          </w:tcPr>
          <w:p w14:paraId="370B4E67" w14:textId="77777777" w:rsidR="00351F39" w:rsidRPr="00411B16" w:rsidRDefault="00351F39" w:rsidP="0005439D">
            <w:pPr>
              <w:spacing w:after="0" w:line="240" w:lineRule="auto"/>
              <w:jc w:val="left"/>
              <w:rPr>
                <w:rFonts w:ascii="Calibri" w:hAnsi="Calibri" w:cs="Calibri"/>
                <w:color w:val="000000"/>
                <w:lang w:val="en-GB" w:eastAsia="en-GB"/>
              </w:rPr>
            </w:pPr>
            <w:r w:rsidRPr="00411B16">
              <w:rPr>
                <w:rFonts w:ascii="Calibri" w:hAnsi="Calibri" w:cs="Calibri"/>
                <w:color w:val="000000"/>
                <w:sz w:val="22"/>
                <w:szCs w:val="22"/>
                <w:lang w:val="en-GB" w:eastAsia="en-GB"/>
              </w:rPr>
              <w:t>Select the number of threads to be used. Speeds up QC analysis dramatically</w:t>
            </w:r>
          </w:p>
        </w:tc>
      </w:tr>
      <w:tr w:rsidR="00351F39" w:rsidRPr="00411B16" w14:paraId="1AFBA086" w14:textId="77777777" w:rsidTr="0005439D">
        <w:trPr>
          <w:trHeight w:val="600"/>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6989DA12" w14:textId="77777777" w:rsidR="00351F39" w:rsidRPr="00411B16" w:rsidRDefault="00351F39" w:rsidP="0005439D">
            <w:pPr>
              <w:spacing w:after="0" w:line="240" w:lineRule="auto"/>
              <w:jc w:val="center"/>
              <w:rPr>
                <w:rFonts w:ascii="Calibri" w:hAnsi="Calibri" w:cs="Calibri"/>
                <w:color w:val="000000"/>
                <w:lang w:val="en-GB" w:eastAsia="en-GB"/>
              </w:rPr>
            </w:pPr>
            <w:r w:rsidRPr="00411B16">
              <w:rPr>
                <w:rFonts w:ascii="Calibri" w:hAnsi="Calibri" w:cs="Calibri"/>
                <w:color w:val="000000"/>
                <w:sz w:val="22"/>
                <w:szCs w:val="22"/>
                <w:lang w:val="en-GB" w:eastAsia="en-GB"/>
              </w:rPr>
              <w:t>-c</w:t>
            </w:r>
          </w:p>
        </w:tc>
        <w:tc>
          <w:tcPr>
            <w:tcW w:w="3483" w:type="dxa"/>
            <w:tcBorders>
              <w:top w:val="nil"/>
              <w:left w:val="nil"/>
              <w:bottom w:val="single" w:sz="4" w:space="0" w:color="auto"/>
              <w:right w:val="single" w:sz="4" w:space="0" w:color="auto"/>
            </w:tcBorders>
            <w:shd w:val="clear" w:color="auto" w:fill="auto"/>
            <w:vAlign w:val="center"/>
            <w:hideMark/>
          </w:tcPr>
          <w:p w14:paraId="687FC4E5" w14:textId="77777777" w:rsidR="00351F39" w:rsidRPr="00411B16" w:rsidRDefault="00351F39" w:rsidP="0005439D">
            <w:pPr>
              <w:spacing w:after="0" w:line="240" w:lineRule="auto"/>
              <w:jc w:val="left"/>
              <w:rPr>
                <w:rFonts w:ascii="Calibri" w:hAnsi="Calibri" w:cs="Calibri"/>
                <w:color w:val="000000"/>
                <w:lang w:val="en-GB" w:eastAsia="en-GB"/>
              </w:rPr>
            </w:pPr>
            <w:r w:rsidRPr="00411B16">
              <w:rPr>
                <w:rFonts w:ascii="Calibri" w:hAnsi="Calibri" w:cs="Calibri"/>
                <w:color w:val="000000"/>
                <w:sz w:val="22"/>
                <w:szCs w:val="22"/>
                <w:lang w:val="en-GB" w:eastAsia="en-GB"/>
              </w:rPr>
              <w:t>--consensus</w:t>
            </w:r>
          </w:p>
        </w:tc>
        <w:tc>
          <w:tcPr>
            <w:tcW w:w="4880" w:type="dxa"/>
            <w:tcBorders>
              <w:top w:val="nil"/>
              <w:left w:val="nil"/>
              <w:bottom w:val="single" w:sz="4" w:space="0" w:color="auto"/>
              <w:right w:val="single" w:sz="4" w:space="0" w:color="auto"/>
            </w:tcBorders>
            <w:shd w:val="clear" w:color="auto" w:fill="auto"/>
            <w:vAlign w:val="center"/>
            <w:hideMark/>
          </w:tcPr>
          <w:p w14:paraId="08B175AA" w14:textId="77777777" w:rsidR="00351F39" w:rsidRPr="00411B16" w:rsidRDefault="00351F39" w:rsidP="0005439D">
            <w:pPr>
              <w:spacing w:after="0" w:line="240" w:lineRule="auto"/>
              <w:jc w:val="left"/>
              <w:rPr>
                <w:rFonts w:ascii="Calibri" w:hAnsi="Calibri" w:cs="Calibri"/>
                <w:color w:val="000000"/>
                <w:lang w:val="en-GB" w:eastAsia="en-GB"/>
              </w:rPr>
            </w:pPr>
            <w:r w:rsidRPr="00411B16">
              <w:rPr>
                <w:rFonts w:ascii="Calibri" w:hAnsi="Calibri" w:cs="Calibri"/>
                <w:color w:val="000000"/>
                <w:sz w:val="22"/>
                <w:szCs w:val="22"/>
                <w:lang w:val="en-GB" w:eastAsia="en-GB"/>
              </w:rPr>
              <w:t>The consensus sequence of all samples is used to generate initial probes</w:t>
            </w:r>
          </w:p>
        </w:tc>
      </w:tr>
      <w:tr w:rsidR="00351F39" w:rsidRPr="00411B16" w14:paraId="336DBD28" w14:textId="77777777" w:rsidTr="0005439D">
        <w:trPr>
          <w:trHeight w:val="600"/>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4249FD23" w14:textId="77777777" w:rsidR="00351F39" w:rsidRPr="00411B16" w:rsidRDefault="00351F39" w:rsidP="0005439D">
            <w:pPr>
              <w:spacing w:after="0" w:line="240" w:lineRule="auto"/>
              <w:jc w:val="center"/>
              <w:rPr>
                <w:rFonts w:ascii="Calibri" w:hAnsi="Calibri" w:cs="Calibri"/>
                <w:color w:val="000000"/>
                <w:lang w:val="en-GB" w:eastAsia="en-GB"/>
              </w:rPr>
            </w:pPr>
            <w:r w:rsidRPr="00411B16">
              <w:rPr>
                <w:rFonts w:ascii="Calibri" w:hAnsi="Calibri" w:cs="Calibri"/>
                <w:color w:val="000000"/>
                <w:sz w:val="22"/>
                <w:szCs w:val="22"/>
                <w:lang w:val="en-GB" w:eastAsia="en-GB"/>
              </w:rPr>
              <w:t>-cc</w:t>
            </w:r>
          </w:p>
        </w:tc>
        <w:tc>
          <w:tcPr>
            <w:tcW w:w="3483" w:type="dxa"/>
            <w:tcBorders>
              <w:top w:val="nil"/>
              <w:left w:val="nil"/>
              <w:bottom w:val="single" w:sz="4" w:space="0" w:color="auto"/>
              <w:right w:val="single" w:sz="4" w:space="0" w:color="auto"/>
            </w:tcBorders>
            <w:shd w:val="clear" w:color="auto" w:fill="auto"/>
            <w:vAlign w:val="center"/>
            <w:hideMark/>
          </w:tcPr>
          <w:p w14:paraId="2B80F3FE" w14:textId="77777777" w:rsidR="00351F39" w:rsidRPr="00411B16" w:rsidRDefault="00351F39" w:rsidP="0005439D">
            <w:pPr>
              <w:spacing w:after="0" w:line="240" w:lineRule="auto"/>
              <w:jc w:val="left"/>
              <w:rPr>
                <w:rFonts w:ascii="Calibri" w:hAnsi="Calibri" w:cs="Calibri"/>
                <w:color w:val="000000"/>
                <w:lang w:val="en-GB" w:eastAsia="en-GB"/>
              </w:rPr>
            </w:pPr>
            <w:r w:rsidRPr="00411B16">
              <w:rPr>
                <w:rFonts w:ascii="Calibri" w:hAnsi="Calibri" w:cs="Calibri"/>
                <w:color w:val="000000"/>
                <w:sz w:val="22"/>
                <w:szCs w:val="22"/>
                <w:lang w:val="en-GB" w:eastAsia="en-GB"/>
              </w:rPr>
              <w:t>--</w:t>
            </w:r>
            <w:proofErr w:type="spellStart"/>
            <w:r w:rsidRPr="00411B16">
              <w:rPr>
                <w:rFonts w:ascii="Calibri" w:hAnsi="Calibri" w:cs="Calibri"/>
                <w:color w:val="000000"/>
                <w:sz w:val="22"/>
                <w:szCs w:val="22"/>
                <w:lang w:val="en-GB" w:eastAsia="en-GB"/>
              </w:rPr>
              <w:t>consensus_of_consensus</w:t>
            </w:r>
            <w:proofErr w:type="spellEnd"/>
          </w:p>
        </w:tc>
        <w:tc>
          <w:tcPr>
            <w:tcW w:w="4880" w:type="dxa"/>
            <w:tcBorders>
              <w:top w:val="nil"/>
              <w:left w:val="nil"/>
              <w:bottom w:val="single" w:sz="4" w:space="0" w:color="auto"/>
              <w:right w:val="single" w:sz="4" w:space="0" w:color="auto"/>
            </w:tcBorders>
            <w:shd w:val="clear" w:color="auto" w:fill="auto"/>
            <w:vAlign w:val="center"/>
            <w:hideMark/>
          </w:tcPr>
          <w:p w14:paraId="0D1D2DAB" w14:textId="77777777" w:rsidR="00351F39" w:rsidRPr="00411B16" w:rsidRDefault="00351F39" w:rsidP="0005439D">
            <w:pPr>
              <w:spacing w:after="0" w:line="240" w:lineRule="auto"/>
              <w:jc w:val="left"/>
              <w:rPr>
                <w:rFonts w:ascii="Calibri" w:hAnsi="Calibri" w:cs="Calibri"/>
                <w:color w:val="000000"/>
                <w:lang w:val="en-GB" w:eastAsia="en-GB"/>
              </w:rPr>
            </w:pPr>
            <w:r w:rsidRPr="00411B16">
              <w:rPr>
                <w:rFonts w:ascii="Calibri" w:hAnsi="Calibri" w:cs="Calibri"/>
                <w:color w:val="000000"/>
                <w:sz w:val="22"/>
                <w:szCs w:val="22"/>
                <w:lang w:val="en-GB" w:eastAsia="en-GB"/>
              </w:rPr>
              <w:t>The consensus of all subtype consensuses is used to generate initial probes</w:t>
            </w:r>
          </w:p>
        </w:tc>
      </w:tr>
      <w:tr w:rsidR="00351F39" w:rsidRPr="00411B16" w14:paraId="2DC9B328" w14:textId="77777777" w:rsidTr="0005439D">
        <w:trPr>
          <w:trHeight w:val="300"/>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13FE7EAD" w14:textId="77777777" w:rsidR="00351F39" w:rsidRPr="00411B16" w:rsidRDefault="00351F39" w:rsidP="0005439D">
            <w:pPr>
              <w:spacing w:after="0" w:line="240" w:lineRule="auto"/>
              <w:jc w:val="center"/>
              <w:rPr>
                <w:rFonts w:ascii="Calibri" w:hAnsi="Calibri" w:cs="Calibri"/>
                <w:color w:val="000000"/>
                <w:lang w:val="en-GB" w:eastAsia="en-GB"/>
              </w:rPr>
            </w:pPr>
            <w:r w:rsidRPr="00411B16">
              <w:rPr>
                <w:rFonts w:ascii="Calibri" w:hAnsi="Calibri" w:cs="Calibri"/>
                <w:color w:val="000000"/>
                <w:sz w:val="22"/>
                <w:szCs w:val="22"/>
                <w:lang w:val="en-GB" w:eastAsia="en-GB"/>
              </w:rPr>
              <w:t>-cg</w:t>
            </w:r>
          </w:p>
        </w:tc>
        <w:tc>
          <w:tcPr>
            <w:tcW w:w="3483" w:type="dxa"/>
            <w:tcBorders>
              <w:top w:val="nil"/>
              <w:left w:val="nil"/>
              <w:bottom w:val="single" w:sz="4" w:space="0" w:color="auto"/>
              <w:right w:val="single" w:sz="4" w:space="0" w:color="auto"/>
            </w:tcBorders>
            <w:shd w:val="clear" w:color="auto" w:fill="auto"/>
            <w:vAlign w:val="center"/>
            <w:hideMark/>
          </w:tcPr>
          <w:p w14:paraId="254E6FD7" w14:textId="77777777" w:rsidR="00351F39" w:rsidRPr="00411B16" w:rsidRDefault="00351F39" w:rsidP="0005439D">
            <w:pPr>
              <w:spacing w:after="0" w:line="240" w:lineRule="auto"/>
              <w:jc w:val="left"/>
              <w:rPr>
                <w:rFonts w:ascii="Calibri" w:hAnsi="Calibri" w:cs="Calibri"/>
                <w:color w:val="000000"/>
                <w:lang w:val="en-GB" w:eastAsia="en-GB"/>
              </w:rPr>
            </w:pPr>
            <w:r w:rsidRPr="00411B16">
              <w:rPr>
                <w:rFonts w:ascii="Calibri" w:hAnsi="Calibri" w:cs="Calibri"/>
                <w:color w:val="000000"/>
                <w:sz w:val="22"/>
                <w:szCs w:val="22"/>
                <w:lang w:val="en-GB" w:eastAsia="en-GB"/>
              </w:rPr>
              <w:t>--</w:t>
            </w:r>
            <w:proofErr w:type="spellStart"/>
            <w:r w:rsidRPr="00411B16">
              <w:rPr>
                <w:rFonts w:ascii="Calibri" w:hAnsi="Calibri" w:cs="Calibri"/>
                <w:color w:val="000000"/>
                <w:sz w:val="22"/>
                <w:szCs w:val="22"/>
                <w:lang w:val="en-GB" w:eastAsia="en-GB"/>
              </w:rPr>
              <w:t>consensus_of_genotypes</w:t>
            </w:r>
            <w:proofErr w:type="spellEnd"/>
          </w:p>
        </w:tc>
        <w:tc>
          <w:tcPr>
            <w:tcW w:w="4880" w:type="dxa"/>
            <w:tcBorders>
              <w:top w:val="nil"/>
              <w:left w:val="nil"/>
              <w:bottom w:val="single" w:sz="4" w:space="0" w:color="auto"/>
              <w:right w:val="single" w:sz="4" w:space="0" w:color="auto"/>
            </w:tcBorders>
            <w:shd w:val="clear" w:color="auto" w:fill="auto"/>
            <w:vAlign w:val="center"/>
            <w:hideMark/>
          </w:tcPr>
          <w:p w14:paraId="4D255F66" w14:textId="77777777" w:rsidR="00351F39" w:rsidRPr="00411B16" w:rsidRDefault="00351F39" w:rsidP="0005439D">
            <w:pPr>
              <w:spacing w:after="0" w:line="240" w:lineRule="auto"/>
              <w:jc w:val="left"/>
              <w:rPr>
                <w:rFonts w:ascii="Calibri" w:hAnsi="Calibri" w:cs="Calibri"/>
                <w:color w:val="000000"/>
                <w:lang w:val="en-GB" w:eastAsia="en-GB"/>
              </w:rPr>
            </w:pPr>
            <w:r w:rsidRPr="00411B16">
              <w:rPr>
                <w:rFonts w:ascii="Calibri" w:hAnsi="Calibri" w:cs="Calibri"/>
                <w:color w:val="000000"/>
                <w:sz w:val="22"/>
                <w:szCs w:val="22"/>
                <w:lang w:val="en-GB" w:eastAsia="en-GB"/>
              </w:rPr>
              <w:t>Each consensus of a genotype is used to generate initial probes</w:t>
            </w:r>
          </w:p>
        </w:tc>
      </w:tr>
      <w:tr w:rsidR="00351F39" w:rsidRPr="00411B16" w14:paraId="6008C9F7" w14:textId="77777777" w:rsidTr="0005439D">
        <w:trPr>
          <w:trHeight w:val="300"/>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2DEADCF9" w14:textId="77777777" w:rsidR="00351F39" w:rsidRPr="00411B16" w:rsidRDefault="00351F39" w:rsidP="0005439D">
            <w:pPr>
              <w:spacing w:after="0" w:line="240" w:lineRule="auto"/>
              <w:jc w:val="center"/>
              <w:rPr>
                <w:rFonts w:ascii="Calibri" w:hAnsi="Calibri" w:cs="Calibri"/>
                <w:color w:val="000000"/>
                <w:lang w:val="en-GB" w:eastAsia="en-GB"/>
              </w:rPr>
            </w:pPr>
            <w:r w:rsidRPr="00411B16">
              <w:rPr>
                <w:rFonts w:ascii="Calibri" w:hAnsi="Calibri" w:cs="Calibri"/>
                <w:color w:val="000000"/>
                <w:sz w:val="22"/>
                <w:szCs w:val="22"/>
                <w:lang w:val="en-GB" w:eastAsia="en-GB"/>
              </w:rPr>
              <w:t>-cs</w:t>
            </w:r>
          </w:p>
        </w:tc>
        <w:tc>
          <w:tcPr>
            <w:tcW w:w="3483" w:type="dxa"/>
            <w:tcBorders>
              <w:top w:val="nil"/>
              <w:left w:val="nil"/>
              <w:bottom w:val="single" w:sz="4" w:space="0" w:color="auto"/>
              <w:right w:val="single" w:sz="4" w:space="0" w:color="auto"/>
            </w:tcBorders>
            <w:shd w:val="clear" w:color="auto" w:fill="auto"/>
            <w:vAlign w:val="center"/>
            <w:hideMark/>
          </w:tcPr>
          <w:p w14:paraId="262C1553" w14:textId="77777777" w:rsidR="00351F39" w:rsidRPr="00411B16" w:rsidRDefault="00351F39" w:rsidP="0005439D">
            <w:pPr>
              <w:spacing w:after="0" w:line="240" w:lineRule="auto"/>
              <w:jc w:val="left"/>
              <w:rPr>
                <w:rFonts w:ascii="Calibri" w:hAnsi="Calibri" w:cs="Calibri"/>
                <w:color w:val="000000"/>
                <w:lang w:val="en-GB" w:eastAsia="en-GB"/>
              </w:rPr>
            </w:pPr>
            <w:r w:rsidRPr="00411B16">
              <w:rPr>
                <w:rFonts w:ascii="Calibri" w:hAnsi="Calibri" w:cs="Calibri"/>
                <w:color w:val="000000"/>
                <w:sz w:val="22"/>
                <w:szCs w:val="22"/>
                <w:lang w:val="en-GB" w:eastAsia="en-GB"/>
              </w:rPr>
              <w:t>--</w:t>
            </w:r>
            <w:proofErr w:type="spellStart"/>
            <w:r w:rsidRPr="00411B16">
              <w:rPr>
                <w:rFonts w:ascii="Calibri" w:hAnsi="Calibri" w:cs="Calibri"/>
                <w:color w:val="000000"/>
                <w:sz w:val="22"/>
                <w:szCs w:val="22"/>
                <w:lang w:val="en-GB" w:eastAsia="en-GB"/>
              </w:rPr>
              <w:t>consensus_of_subtypes</w:t>
            </w:r>
            <w:proofErr w:type="spellEnd"/>
          </w:p>
        </w:tc>
        <w:tc>
          <w:tcPr>
            <w:tcW w:w="4880" w:type="dxa"/>
            <w:tcBorders>
              <w:top w:val="nil"/>
              <w:left w:val="nil"/>
              <w:bottom w:val="single" w:sz="4" w:space="0" w:color="auto"/>
              <w:right w:val="single" w:sz="4" w:space="0" w:color="auto"/>
            </w:tcBorders>
            <w:shd w:val="clear" w:color="auto" w:fill="auto"/>
            <w:vAlign w:val="center"/>
            <w:hideMark/>
          </w:tcPr>
          <w:p w14:paraId="043AD4F7" w14:textId="77777777" w:rsidR="00351F39" w:rsidRPr="00411B16" w:rsidRDefault="00351F39" w:rsidP="0005439D">
            <w:pPr>
              <w:spacing w:after="0" w:line="240" w:lineRule="auto"/>
              <w:jc w:val="left"/>
              <w:rPr>
                <w:rFonts w:ascii="Calibri" w:hAnsi="Calibri" w:cs="Calibri"/>
                <w:color w:val="000000"/>
                <w:lang w:val="en-GB" w:eastAsia="en-GB"/>
              </w:rPr>
            </w:pPr>
            <w:r w:rsidRPr="00411B16">
              <w:rPr>
                <w:rFonts w:ascii="Calibri" w:hAnsi="Calibri" w:cs="Calibri"/>
                <w:color w:val="000000"/>
                <w:sz w:val="22"/>
                <w:szCs w:val="22"/>
                <w:lang w:val="en-GB" w:eastAsia="en-GB"/>
              </w:rPr>
              <w:t>Add consensus sequences for subtypes to probe design</w:t>
            </w:r>
          </w:p>
        </w:tc>
      </w:tr>
      <w:tr w:rsidR="00351F39" w:rsidRPr="00411B16" w14:paraId="1DAD33A9" w14:textId="77777777" w:rsidTr="0005439D">
        <w:trPr>
          <w:trHeight w:val="900"/>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4C38F873" w14:textId="77777777" w:rsidR="00351F39" w:rsidRPr="00411B16" w:rsidRDefault="00351F39" w:rsidP="0005439D">
            <w:pPr>
              <w:spacing w:after="0" w:line="240" w:lineRule="auto"/>
              <w:jc w:val="center"/>
              <w:rPr>
                <w:rFonts w:ascii="Calibri" w:hAnsi="Calibri" w:cs="Calibri"/>
                <w:color w:val="000000"/>
                <w:lang w:val="en-GB" w:eastAsia="en-GB"/>
              </w:rPr>
            </w:pPr>
            <w:r w:rsidRPr="00411B16">
              <w:rPr>
                <w:rFonts w:ascii="Calibri" w:hAnsi="Calibri" w:cs="Calibri"/>
                <w:color w:val="000000"/>
                <w:sz w:val="22"/>
                <w:szCs w:val="22"/>
                <w:lang w:val="en-GB" w:eastAsia="en-GB"/>
              </w:rPr>
              <w:t>-</w:t>
            </w:r>
            <w:proofErr w:type="spellStart"/>
            <w:r w:rsidRPr="00411B16">
              <w:rPr>
                <w:rFonts w:ascii="Calibri" w:hAnsi="Calibri" w:cs="Calibri"/>
                <w:color w:val="000000"/>
                <w:sz w:val="22"/>
                <w:szCs w:val="22"/>
                <w:lang w:val="en-GB" w:eastAsia="en-GB"/>
              </w:rPr>
              <w:t>st</w:t>
            </w:r>
            <w:proofErr w:type="spellEnd"/>
          </w:p>
        </w:tc>
        <w:tc>
          <w:tcPr>
            <w:tcW w:w="3483" w:type="dxa"/>
            <w:tcBorders>
              <w:top w:val="nil"/>
              <w:left w:val="nil"/>
              <w:bottom w:val="single" w:sz="4" w:space="0" w:color="auto"/>
              <w:right w:val="single" w:sz="4" w:space="0" w:color="auto"/>
            </w:tcBorders>
            <w:shd w:val="clear" w:color="auto" w:fill="auto"/>
            <w:vAlign w:val="center"/>
            <w:hideMark/>
          </w:tcPr>
          <w:p w14:paraId="40A026F3" w14:textId="77777777" w:rsidR="00351F39" w:rsidRPr="00411B16" w:rsidRDefault="00351F39" w:rsidP="0005439D">
            <w:pPr>
              <w:spacing w:after="0" w:line="240" w:lineRule="auto"/>
              <w:jc w:val="left"/>
              <w:rPr>
                <w:rFonts w:ascii="Calibri" w:hAnsi="Calibri" w:cs="Calibri"/>
                <w:color w:val="000000"/>
                <w:lang w:val="en-GB" w:eastAsia="en-GB"/>
              </w:rPr>
            </w:pPr>
            <w:r w:rsidRPr="00411B16">
              <w:rPr>
                <w:rFonts w:ascii="Calibri" w:hAnsi="Calibri" w:cs="Calibri"/>
                <w:color w:val="000000"/>
                <w:sz w:val="22"/>
                <w:szCs w:val="22"/>
                <w:lang w:val="en-GB" w:eastAsia="en-GB"/>
              </w:rPr>
              <w:t>--subtype threshold [int, default=0]</w:t>
            </w:r>
          </w:p>
        </w:tc>
        <w:tc>
          <w:tcPr>
            <w:tcW w:w="4880" w:type="dxa"/>
            <w:tcBorders>
              <w:top w:val="nil"/>
              <w:left w:val="nil"/>
              <w:bottom w:val="single" w:sz="4" w:space="0" w:color="auto"/>
              <w:right w:val="single" w:sz="4" w:space="0" w:color="auto"/>
            </w:tcBorders>
            <w:shd w:val="clear" w:color="auto" w:fill="auto"/>
            <w:vAlign w:val="center"/>
            <w:hideMark/>
          </w:tcPr>
          <w:p w14:paraId="5B030394" w14:textId="77777777" w:rsidR="00351F39" w:rsidRPr="00411B16" w:rsidRDefault="00351F39" w:rsidP="0005439D">
            <w:pPr>
              <w:spacing w:after="0" w:line="240" w:lineRule="auto"/>
              <w:jc w:val="left"/>
              <w:rPr>
                <w:rFonts w:ascii="Calibri" w:hAnsi="Calibri" w:cs="Calibri"/>
                <w:color w:val="000000"/>
                <w:lang w:val="en-GB" w:eastAsia="en-GB"/>
              </w:rPr>
            </w:pPr>
            <w:r w:rsidRPr="00411B16">
              <w:rPr>
                <w:rFonts w:ascii="Calibri" w:hAnsi="Calibri" w:cs="Calibri"/>
                <w:color w:val="000000"/>
                <w:sz w:val="22"/>
                <w:szCs w:val="22"/>
                <w:lang w:val="en-GB" w:eastAsia="en-GB"/>
              </w:rPr>
              <w:t>Insert a value for a minimum number of sequences of a given subtype it takes to justify generating and including a subtype consensus</w:t>
            </w:r>
            <w:r>
              <w:rPr>
                <w:rFonts w:ascii="Calibri" w:hAnsi="Calibri" w:cs="Calibri"/>
                <w:color w:val="000000"/>
                <w:sz w:val="22"/>
                <w:szCs w:val="22"/>
                <w:lang w:val="en-GB" w:eastAsia="en-GB"/>
              </w:rPr>
              <w:t xml:space="preserve"> for probe design</w:t>
            </w:r>
          </w:p>
        </w:tc>
      </w:tr>
      <w:tr w:rsidR="00351F39" w:rsidRPr="00411B16" w14:paraId="71670EED" w14:textId="77777777" w:rsidTr="0005439D">
        <w:trPr>
          <w:trHeight w:val="600"/>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18A3ADA5" w14:textId="77777777" w:rsidR="00351F39" w:rsidRPr="00411B16" w:rsidRDefault="00351F39" w:rsidP="0005439D">
            <w:pPr>
              <w:spacing w:after="0" w:line="240" w:lineRule="auto"/>
              <w:jc w:val="center"/>
              <w:rPr>
                <w:rFonts w:ascii="Calibri" w:hAnsi="Calibri" w:cs="Calibri"/>
                <w:color w:val="000000"/>
                <w:lang w:val="en-GB" w:eastAsia="en-GB"/>
              </w:rPr>
            </w:pPr>
            <w:r w:rsidRPr="00411B16">
              <w:rPr>
                <w:rFonts w:ascii="Calibri" w:hAnsi="Calibri" w:cs="Calibri"/>
                <w:color w:val="000000"/>
                <w:sz w:val="22"/>
                <w:szCs w:val="22"/>
                <w:lang w:val="en-GB" w:eastAsia="en-GB"/>
              </w:rPr>
              <w:t>-</w:t>
            </w:r>
            <w:proofErr w:type="spellStart"/>
            <w:r w:rsidRPr="00411B16">
              <w:rPr>
                <w:rFonts w:ascii="Calibri" w:hAnsi="Calibri" w:cs="Calibri"/>
                <w:color w:val="000000"/>
                <w:sz w:val="22"/>
                <w:szCs w:val="22"/>
                <w:lang w:val="en-GB" w:eastAsia="en-GB"/>
              </w:rPr>
              <w:t>ot</w:t>
            </w:r>
            <w:proofErr w:type="spellEnd"/>
          </w:p>
        </w:tc>
        <w:tc>
          <w:tcPr>
            <w:tcW w:w="3483" w:type="dxa"/>
            <w:tcBorders>
              <w:top w:val="nil"/>
              <w:left w:val="nil"/>
              <w:bottom w:val="single" w:sz="4" w:space="0" w:color="auto"/>
              <w:right w:val="single" w:sz="4" w:space="0" w:color="auto"/>
            </w:tcBorders>
            <w:shd w:val="clear" w:color="auto" w:fill="auto"/>
            <w:vAlign w:val="center"/>
            <w:hideMark/>
          </w:tcPr>
          <w:p w14:paraId="5A493ED9" w14:textId="77777777" w:rsidR="00351F39" w:rsidRPr="00411B16" w:rsidRDefault="00351F39" w:rsidP="0005439D">
            <w:pPr>
              <w:spacing w:after="0" w:line="240" w:lineRule="auto"/>
              <w:jc w:val="left"/>
              <w:rPr>
                <w:rFonts w:ascii="Calibri" w:hAnsi="Calibri" w:cs="Calibri"/>
                <w:color w:val="000000"/>
                <w:lang w:val="en-GB" w:eastAsia="en-GB"/>
              </w:rPr>
            </w:pPr>
            <w:r w:rsidRPr="00411B16">
              <w:rPr>
                <w:rFonts w:ascii="Calibri" w:hAnsi="Calibri" w:cs="Calibri"/>
                <w:color w:val="000000"/>
                <w:sz w:val="22"/>
                <w:szCs w:val="22"/>
                <w:lang w:val="en-GB" w:eastAsia="en-GB"/>
              </w:rPr>
              <w:t>--</w:t>
            </w:r>
            <w:proofErr w:type="spellStart"/>
            <w:r w:rsidRPr="00411B16">
              <w:rPr>
                <w:rFonts w:ascii="Calibri" w:hAnsi="Calibri" w:cs="Calibri"/>
                <w:color w:val="000000"/>
                <w:sz w:val="22"/>
                <w:szCs w:val="22"/>
                <w:lang w:val="en-GB" w:eastAsia="en-GB"/>
              </w:rPr>
              <w:t>only_typed</w:t>
            </w:r>
            <w:proofErr w:type="spellEnd"/>
          </w:p>
        </w:tc>
        <w:tc>
          <w:tcPr>
            <w:tcW w:w="4880" w:type="dxa"/>
            <w:tcBorders>
              <w:top w:val="nil"/>
              <w:left w:val="nil"/>
              <w:bottom w:val="single" w:sz="4" w:space="0" w:color="auto"/>
              <w:right w:val="single" w:sz="4" w:space="0" w:color="auto"/>
            </w:tcBorders>
            <w:shd w:val="clear" w:color="auto" w:fill="auto"/>
            <w:vAlign w:val="center"/>
            <w:hideMark/>
          </w:tcPr>
          <w:p w14:paraId="46FCF59B" w14:textId="77777777" w:rsidR="00351F39" w:rsidRPr="00411B16" w:rsidRDefault="00351F39" w:rsidP="0005439D">
            <w:pPr>
              <w:spacing w:after="0" w:line="240" w:lineRule="auto"/>
              <w:jc w:val="left"/>
              <w:rPr>
                <w:rFonts w:ascii="Calibri" w:hAnsi="Calibri" w:cs="Calibri"/>
                <w:color w:val="000000"/>
                <w:lang w:val="en-GB" w:eastAsia="en-GB"/>
              </w:rPr>
            </w:pPr>
            <w:r w:rsidRPr="00411B16">
              <w:rPr>
                <w:rFonts w:ascii="Calibri" w:hAnsi="Calibri" w:cs="Calibri"/>
                <w:color w:val="000000"/>
                <w:sz w:val="22"/>
                <w:szCs w:val="22"/>
                <w:lang w:val="en-GB" w:eastAsia="en-GB"/>
              </w:rPr>
              <w:t xml:space="preserve">Only sequences with a known </w:t>
            </w:r>
            <w:proofErr w:type="spellStart"/>
            <w:r w:rsidRPr="00411B16">
              <w:rPr>
                <w:rFonts w:ascii="Calibri" w:hAnsi="Calibri" w:cs="Calibri"/>
                <w:color w:val="000000"/>
                <w:sz w:val="22"/>
                <w:szCs w:val="22"/>
                <w:lang w:val="en-GB" w:eastAsia="en-GB"/>
              </w:rPr>
              <w:t>geno</w:t>
            </w:r>
            <w:proofErr w:type="spellEnd"/>
            <w:r w:rsidRPr="00411B16">
              <w:rPr>
                <w:rFonts w:ascii="Calibri" w:hAnsi="Calibri" w:cs="Calibri"/>
                <w:color w:val="000000"/>
                <w:sz w:val="22"/>
                <w:szCs w:val="22"/>
                <w:lang w:val="en-GB" w:eastAsia="en-GB"/>
              </w:rPr>
              <w:t>- and subtype will be used in probe design</w:t>
            </w:r>
          </w:p>
        </w:tc>
      </w:tr>
      <w:tr w:rsidR="00351F39" w:rsidRPr="00411B16" w14:paraId="3EDF72FC" w14:textId="77777777" w:rsidTr="0005439D">
        <w:trPr>
          <w:trHeight w:val="990"/>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19B48F37" w14:textId="77777777" w:rsidR="00351F39" w:rsidRPr="00411B16" w:rsidRDefault="00351F39" w:rsidP="0005439D">
            <w:pPr>
              <w:spacing w:after="0" w:line="240" w:lineRule="auto"/>
              <w:jc w:val="center"/>
              <w:rPr>
                <w:rFonts w:ascii="Calibri" w:hAnsi="Calibri" w:cs="Calibri"/>
                <w:color w:val="000000"/>
                <w:lang w:val="en-GB" w:eastAsia="en-GB"/>
              </w:rPr>
            </w:pPr>
            <w:r w:rsidRPr="00411B16">
              <w:rPr>
                <w:rFonts w:ascii="Calibri" w:hAnsi="Calibri" w:cs="Calibri"/>
                <w:color w:val="000000"/>
                <w:sz w:val="22"/>
                <w:szCs w:val="22"/>
                <w:lang w:val="en-GB" w:eastAsia="en-GB"/>
              </w:rPr>
              <w:t>-</w:t>
            </w:r>
            <w:proofErr w:type="spellStart"/>
            <w:proofErr w:type="gramStart"/>
            <w:r w:rsidRPr="00411B16">
              <w:rPr>
                <w:rFonts w:ascii="Calibri" w:hAnsi="Calibri" w:cs="Calibri"/>
                <w:color w:val="000000"/>
                <w:sz w:val="22"/>
                <w:szCs w:val="22"/>
                <w:lang w:val="en-GB" w:eastAsia="en-GB"/>
              </w:rPr>
              <w:t>eg</w:t>
            </w:r>
            <w:proofErr w:type="spellEnd"/>
            <w:proofErr w:type="gramEnd"/>
          </w:p>
        </w:tc>
        <w:tc>
          <w:tcPr>
            <w:tcW w:w="3483" w:type="dxa"/>
            <w:tcBorders>
              <w:top w:val="nil"/>
              <w:left w:val="nil"/>
              <w:bottom w:val="single" w:sz="4" w:space="0" w:color="auto"/>
              <w:right w:val="single" w:sz="4" w:space="0" w:color="auto"/>
            </w:tcBorders>
            <w:shd w:val="clear" w:color="auto" w:fill="auto"/>
            <w:vAlign w:val="center"/>
            <w:hideMark/>
          </w:tcPr>
          <w:p w14:paraId="3EE6E0DC" w14:textId="77777777" w:rsidR="00351F39" w:rsidRPr="00411B16" w:rsidRDefault="00351F39" w:rsidP="0005439D">
            <w:pPr>
              <w:spacing w:after="0" w:line="240" w:lineRule="auto"/>
              <w:jc w:val="left"/>
              <w:rPr>
                <w:rFonts w:ascii="Calibri" w:hAnsi="Calibri" w:cs="Calibri"/>
                <w:color w:val="000000"/>
                <w:lang w:val="en-GB" w:eastAsia="en-GB"/>
              </w:rPr>
            </w:pPr>
            <w:r w:rsidRPr="00411B16">
              <w:rPr>
                <w:rFonts w:ascii="Calibri" w:hAnsi="Calibri" w:cs="Calibri"/>
                <w:color w:val="000000"/>
                <w:sz w:val="22"/>
                <w:szCs w:val="22"/>
                <w:lang w:val="en-GB" w:eastAsia="en-GB"/>
              </w:rPr>
              <w:t>--</w:t>
            </w:r>
            <w:proofErr w:type="spellStart"/>
            <w:r w:rsidRPr="00411B16">
              <w:rPr>
                <w:rFonts w:ascii="Calibri" w:hAnsi="Calibri" w:cs="Calibri"/>
                <w:color w:val="000000"/>
                <w:sz w:val="22"/>
                <w:szCs w:val="22"/>
                <w:lang w:val="en-GB" w:eastAsia="en-GB"/>
              </w:rPr>
              <w:t>exclude_genotype</w:t>
            </w:r>
            <w:proofErr w:type="spellEnd"/>
            <w:r w:rsidRPr="00411B16">
              <w:rPr>
                <w:rFonts w:ascii="Calibri" w:hAnsi="Calibri" w:cs="Calibri"/>
                <w:color w:val="000000"/>
                <w:sz w:val="22"/>
                <w:szCs w:val="22"/>
                <w:lang w:val="en-GB" w:eastAsia="en-GB"/>
              </w:rPr>
              <w:t xml:space="preserve"> [list]</w:t>
            </w:r>
          </w:p>
        </w:tc>
        <w:tc>
          <w:tcPr>
            <w:tcW w:w="4880" w:type="dxa"/>
            <w:tcBorders>
              <w:top w:val="nil"/>
              <w:left w:val="nil"/>
              <w:bottom w:val="single" w:sz="4" w:space="0" w:color="auto"/>
              <w:right w:val="single" w:sz="4" w:space="0" w:color="auto"/>
            </w:tcBorders>
            <w:shd w:val="clear" w:color="auto" w:fill="auto"/>
            <w:vAlign w:val="center"/>
            <w:hideMark/>
          </w:tcPr>
          <w:p w14:paraId="3A4D3462" w14:textId="77777777" w:rsidR="00351F39" w:rsidRPr="00411B16" w:rsidRDefault="00351F39" w:rsidP="0005439D">
            <w:pPr>
              <w:spacing w:after="0" w:line="240" w:lineRule="auto"/>
              <w:jc w:val="left"/>
              <w:rPr>
                <w:rFonts w:ascii="Calibri" w:hAnsi="Calibri" w:cs="Calibri"/>
                <w:color w:val="000000"/>
                <w:lang w:val="en-GB" w:eastAsia="en-GB"/>
              </w:rPr>
            </w:pPr>
            <w:r w:rsidRPr="00411B16">
              <w:rPr>
                <w:rFonts w:ascii="Calibri" w:hAnsi="Calibri" w:cs="Calibri"/>
                <w:color w:val="000000"/>
                <w:sz w:val="22"/>
                <w:szCs w:val="22"/>
                <w:lang w:val="en-GB" w:eastAsia="en-GB"/>
              </w:rPr>
              <w:t>list of space-separated genotypes to be excluded for the purposes of probe design, but still tested against designed probes.</w:t>
            </w:r>
            <w:r w:rsidRPr="00411B16">
              <w:rPr>
                <w:rFonts w:ascii="Calibri" w:hAnsi="Calibri" w:cs="Calibri"/>
                <w:color w:val="000000"/>
                <w:sz w:val="22"/>
                <w:szCs w:val="22"/>
                <w:lang w:val="en-GB" w:eastAsia="en-GB"/>
              </w:rPr>
              <w:br/>
              <w:t>If -cg is on a consensus for these is still used to generate initial probes.</w:t>
            </w:r>
          </w:p>
        </w:tc>
      </w:tr>
    </w:tbl>
    <w:p w14:paraId="1D4B1028" w14:textId="77777777" w:rsidR="00351F39" w:rsidRDefault="00351F39" w:rsidP="00351F39">
      <w:pPr>
        <w:rPr>
          <w:noProof/>
          <w:lang w:val="en-GB"/>
        </w:rPr>
      </w:pPr>
    </w:p>
    <w:p w14:paraId="63B78381" w14:textId="77777777" w:rsidR="00351F39" w:rsidRDefault="00351F39" w:rsidP="00351F39">
      <w:pPr>
        <w:rPr>
          <w:noProof/>
          <w:lang w:val="en-GB"/>
        </w:rPr>
      </w:pPr>
      <w:r>
        <w:rPr>
          <w:noProof/>
          <w:lang w:val="en-GB"/>
        </w:rPr>
        <w:t>As an example, the command:</w:t>
      </w:r>
    </w:p>
    <w:p w14:paraId="123CD5D1" w14:textId="77777777" w:rsidR="00351F39" w:rsidRDefault="00351F39" w:rsidP="00351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en-GB" w:eastAsia="en-GB"/>
        </w:rPr>
      </w:pPr>
      <w:r>
        <w:rPr>
          <w:rFonts w:ascii="Courier New" w:hAnsi="Courier New" w:cs="Courier New"/>
          <w:sz w:val="20"/>
          <w:szCs w:val="20"/>
          <w:lang w:val="en-GB" w:eastAsia="en-GB"/>
        </w:rPr>
        <w:t>python P</w:t>
      </w:r>
      <w:r w:rsidRPr="0026091D">
        <w:rPr>
          <w:rFonts w:ascii="Courier New" w:hAnsi="Courier New" w:cs="Courier New"/>
          <w:sz w:val="20"/>
          <w:szCs w:val="20"/>
          <w:lang w:val="en-GB" w:eastAsia="en-GB"/>
        </w:rPr>
        <w:t>robe_designer_master.py</w:t>
      </w:r>
      <w:r>
        <w:rPr>
          <w:rFonts w:ascii="Courier New" w:hAnsi="Courier New" w:cs="Courier New"/>
          <w:sz w:val="20"/>
          <w:szCs w:val="20"/>
          <w:lang w:val="en-GB" w:eastAsia="en-GB"/>
        </w:rPr>
        <w:t xml:space="preserve"> </w:t>
      </w:r>
      <w:proofErr w:type="spellStart"/>
      <w:r>
        <w:rPr>
          <w:rFonts w:ascii="Courier New" w:hAnsi="Courier New" w:cs="Courier New"/>
          <w:sz w:val="20"/>
          <w:szCs w:val="20"/>
          <w:lang w:val="en-GB" w:eastAsia="en-GB"/>
        </w:rPr>
        <w:t>input_</w:t>
      </w:r>
      <w:proofErr w:type="gramStart"/>
      <w:r>
        <w:rPr>
          <w:rFonts w:ascii="Courier New" w:hAnsi="Courier New" w:cs="Courier New"/>
          <w:sz w:val="20"/>
          <w:szCs w:val="20"/>
          <w:lang w:val="en-GB" w:eastAsia="en-GB"/>
        </w:rPr>
        <w:t>references</w:t>
      </w:r>
      <w:r w:rsidRPr="0026091D">
        <w:rPr>
          <w:rFonts w:ascii="Courier New" w:hAnsi="Courier New" w:cs="Courier New"/>
          <w:sz w:val="20"/>
          <w:szCs w:val="20"/>
          <w:lang w:val="en-GB" w:eastAsia="en-GB"/>
        </w:rPr>
        <w:t>.fasta</w:t>
      </w:r>
      <w:proofErr w:type="spellEnd"/>
      <w:proofErr w:type="gramEnd"/>
      <w:r w:rsidRPr="0026091D">
        <w:rPr>
          <w:rFonts w:ascii="Courier New" w:hAnsi="Courier New" w:cs="Courier New"/>
          <w:sz w:val="20"/>
          <w:szCs w:val="20"/>
          <w:lang w:val="en-GB" w:eastAsia="en-GB"/>
        </w:rPr>
        <w:t xml:space="preserve"> -c -s 0.8 -t 10 -</w:t>
      </w:r>
      <w:proofErr w:type="spellStart"/>
      <w:r w:rsidRPr="0026091D">
        <w:rPr>
          <w:rFonts w:ascii="Courier New" w:hAnsi="Courier New" w:cs="Courier New"/>
          <w:sz w:val="20"/>
          <w:szCs w:val="20"/>
          <w:lang w:val="en-GB" w:eastAsia="en-GB"/>
        </w:rPr>
        <w:t>eg</w:t>
      </w:r>
      <w:proofErr w:type="spellEnd"/>
      <w:r w:rsidRPr="0026091D">
        <w:rPr>
          <w:rFonts w:ascii="Courier New" w:hAnsi="Courier New" w:cs="Courier New"/>
          <w:sz w:val="20"/>
          <w:szCs w:val="20"/>
          <w:lang w:val="en-GB" w:eastAsia="en-GB"/>
        </w:rPr>
        <w:t xml:space="preserve"> 5 6 7 8 -cs -</w:t>
      </w:r>
      <w:proofErr w:type="spellStart"/>
      <w:r w:rsidRPr="0026091D">
        <w:rPr>
          <w:rFonts w:ascii="Courier New" w:hAnsi="Courier New" w:cs="Courier New"/>
          <w:sz w:val="20"/>
          <w:szCs w:val="20"/>
          <w:lang w:val="en-GB" w:eastAsia="en-GB"/>
        </w:rPr>
        <w:t>ot</w:t>
      </w:r>
      <w:proofErr w:type="spellEnd"/>
      <w:r w:rsidRPr="0026091D">
        <w:rPr>
          <w:rFonts w:ascii="Courier New" w:hAnsi="Courier New" w:cs="Courier New"/>
          <w:sz w:val="20"/>
          <w:szCs w:val="20"/>
          <w:lang w:val="en-GB" w:eastAsia="en-GB"/>
        </w:rPr>
        <w:t xml:space="preserve"> -</w:t>
      </w:r>
      <w:proofErr w:type="spellStart"/>
      <w:r w:rsidRPr="0026091D">
        <w:rPr>
          <w:rFonts w:ascii="Courier New" w:hAnsi="Courier New" w:cs="Courier New"/>
          <w:sz w:val="20"/>
          <w:szCs w:val="20"/>
          <w:lang w:val="en-GB" w:eastAsia="en-GB"/>
        </w:rPr>
        <w:t>st</w:t>
      </w:r>
      <w:proofErr w:type="spellEnd"/>
      <w:r w:rsidRPr="0026091D">
        <w:rPr>
          <w:rFonts w:ascii="Courier New" w:hAnsi="Courier New" w:cs="Courier New"/>
          <w:sz w:val="20"/>
          <w:szCs w:val="20"/>
          <w:lang w:val="en-GB" w:eastAsia="en-GB"/>
        </w:rPr>
        <w:t xml:space="preserve"> 10</w:t>
      </w:r>
    </w:p>
    <w:p w14:paraId="42E36042" w14:textId="77777777" w:rsidR="00351F39" w:rsidRPr="0026091D" w:rsidRDefault="00351F39" w:rsidP="00351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GB" w:eastAsia="en-GB"/>
        </w:rPr>
      </w:pPr>
    </w:p>
    <w:p w14:paraId="27F099B2" w14:textId="77777777" w:rsidR="00351F39" w:rsidRDefault="00351F39" w:rsidP="00351F39">
      <w:pPr>
        <w:rPr>
          <w:noProof/>
          <w:lang w:val="en-GB"/>
        </w:rPr>
      </w:pPr>
      <w:r>
        <w:rPr>
          <w:noProof/>
          <w:lang w:val="en-GB"/>
        </w:rPr>
        <w:t>will generate generate an initial set of probes by slicing the consensus sequence made from all input references into 120 nt segments (</w:t>
      </w:r>
      <w:r w:rsidRPr="003A7898">
        <w:rPr>
          <w:rFonts w:ascii="Courier New" w:hAnsi="Courier New" w:cs="Courier New"/>
          <w:noProof/>
          <w:lang w:val="en-GB"/>
        </w:rPr>
        <w:t>-c</w:t>
      </w:r>
      <w:r>
        <w:rPr>
          <w:noProof/>
          <w:lang w:val="en-GB"/>
        </w:rPr>
        <w:t xml:space="preserve">). If any 120 nucleotide segment in a query genome is less than 80% similar to the probe that it is the most similar to, a new probe will be designed using this 120 nucleotide </w:t>
      </w:r>
      <w:r>
        <w:rPr>
          <w:noProof/>
          <w:lang w:val="en-GB"/>
        </w:rPr>
        <w:lastRenderedPageBreak/>
        <w:t xml:space="preserve">stretch in the query genome </w:t>
      </w:r>
      <w:r w:rsidRPr="003A7898">
        <w:rPr>
          <w:rFonts w:ascii="Courier New" w:hAnsi="Courier New" w:cs="Courier New"/>
          <w:noProof/>
          <w:lang w:val="en-GB"/>
        </w:rPr>
        <w:t>(-s 0.8</w:t>
      </w:r>
      <w:r>
        <w:rPr>
          <w:noProof/>
          <w:lang w:val="en-GB"/>
        </w:rPr>
        <w:t xml:space="preserve">). Before iterating through each genome in the reference file for probe design, it will first iterate through the consensus sequences for each subtype found in the reference file, except for the subtypes of which there are less than 10 genomes </w:t>
      </w:r>
      <w:r w:rsidRPr="003A7898">
        <w:rPr>
          <w:rFonts w:ascii="Courier New" w:hAnsi="Courier New" w:cs="Courier New"/>
          <w:noProof/>
          <w:lang w:val="en-GB"/>
        </w:rPr>
        <w:t>(-cs -st 10</w:t>
      </w:r>
      <w:r>
        <w:rPr>
          <w:noProof/>
          <w:lang w:val="en-GB"/>
        </w:rPr>
        <w:t xml:space="preserve">). No probes should be designed against genomes of genotype 5, 6, 7, and 8, and only genomes with a known subtype should have probes designed against them </w:t>
      </w:r>
      <w:r w:rsidRPr="003A7898">
        <w:rPr>
          <w:rFonts w:ascii="Courier New" w:hAnsi="Courier New" w:cs="Courier New"/>
          <w:noProof/>
          <w:lang w:val="en-GB"/>
        </w:rPr>
        <w:t>(-eg 5 6 7 8 -ot</w:t>
      </w:r>
      <w:r>
        <w:rPr>
          <w:noProof/>
          <w:lang w:val="en-GB"/>
        </w:rPr>
        <w:t>). When performing the quality control, the process is sped up by using ten threads (</w:t>
      </w:r>
      <w:r w:rsidRPr="003A7898">
        <w:rPr>
          <w:rFonts w:ascii="Courier New" w:hAnsi="Courier New" w:cs="Courier New"/>
          <w:noProof/>
          <w:lang w:val="en-GB"/>
        </w:rPr>
        <w:t>-t 10</w:t>
      </w:r>
      <w:r>
        <w:rPr>
          <w:noProof/>
          <w:lang w:val="en-GB"/>
        </w:rPr>
        <w:t>).</w:t>
      </w:r>
    </w:p>
    <w:p w14:paraId="544513B6" w14:textId="77777777" w:rsidR="00351F39" w:rsidRPr="004838C6" w:rsidRDefault="00351F39" w:rsidP="00351F39">
      <w:pPr>
        <w:rPr>
          <w:lang w:val="en-GB"/>
        </w:rPr>
      </w:pPr>
    </w:p>
    <w:p w14:paraId="791202FB" w14:textId="77777777" w:rsidR="00351F39" w:rsidRDefault="00351F39" w:rsidP="00351F39">
      <w:pPr>
        <w:keepNext/>
        <w:spacing w:line="259" w:lineRule="auto"/>
        <w:jc w:val="center"/>
      </w:pPr>
      <w:r>
        <w:rPr>
          <w:noProof/>
        </w:rPr>
        <w:drawing>
          <wp:inline distT="0" distB="0" distL="0" distR="0" wp14:anchorId="066A9B7B" wp14:editId="42DB7BCD">
            <wp:extent cx="3771348" cy="4497572"/>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558"/>
                    <a:stretch/>
                  </pic:blipFill>
                  <pic:spPr bwMode="auto">
                    <a:xfrm>
                      <a:off x="0" y="0"/>
                      <a:ext cx="3782538" cy="4510916"/>
                    </a:xfrm>
                    <a:prstGeom prst="rect">
                      <a:avLst/>
                    </a:prstGeom>
                    <a:noFill/>
                    <a:ln>
                      <a:noFill/>
                    </a:ln>
                    <a:extLst>
                      <a:ext uri="{53640926-AAD7-44D8-BBD7-CCE9431645EC}">
                        <a14:shadowObscured xmlns:a14="http://schemas.microsoft.com/office/drawing/2010/main"/>
                      </a:ext>
                    </a:extLst>
                  </pic:spPr>
                </pic:pic>
              </a:graphicData>
            </a:graphic>
          </wp:inline>
        </w:drawing>
      </w:r>
    </w:p>
    <w:p w14:paraId="43095D88" w14:textId="77777777" w:rsidR="00351F39" w:rsidRDefault="00351F39" w:rsidP="00351F39">
      <w:pPr>
        <w:pStyle w:val="Caption"/>
        <w:jc w:val="left"/>
      </w:pPr>
      <w:bookmarkStart w:id="17" w:name="_Toc131691445"/>
      <w:r>
        <w:t xml:space="preserve">Supplementary 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3</w:t>
      </w:r>
      <w:r>
        <w:fldChar w:fldCharType="end"/>
      </w:r>
      <w:r>
        <w:t xml:space="preserve">  Figure from quality control of probe design - Overview of design process</w:t>
      </w:r>
      <w:bookmarkEnd w:id="17"/>
    </w:p>
    <w:p w14:paraId="5955F81B" w14:textId="77777777" w:rsidR="00351F39" w:rsidRDefault="00351F39" w:rsidP="00351F39">
      <w:pPr>
        <w:pStyle w:val="Tabletext"/>
        <w:rPr>
          <w:lang w:val="en-US"/>
        </w:rPr>
      </w:pPr>
      <w:r>
        <w:rPr>
          <w:lang w:val="en-US"/>
        </w:rPr>
        <w:t>Figure shows the individual number of new probes generated per reference (blue, right axis) and the running total number of probes generated so far in the process (orange, left axis). The input references are shown on the first axis: three each of HCV1a, 1b, 3a, 4a, and 4d.</w:t>
      </w:r>
    </w:p>
    <w:p w14:paraId="521C0B82" w14:textId="77777777" w:rsidR="00351F39" w:rsidRDefault="00351F39" w:rsidP="00351F39">
      <w:pPr>
        <w:keepNext/>
        <w:jc w:val="center"/>
      </w:pPr>
      <w:r>
        <w:rPr>
          <w:noProof/>
        </w:rPr>
        <w:lastRenderedPageBreak/>
        <w:drawing>
          <wp:inline distT="0" distB="0" distL="0" distR="0" wp14:anchorId="79293133" wp14:editId="3C51678A">
            <wp:extent cx="2762250" cy="3381375"/>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926" b="7635"/>
                    <a:stretch/>
                  </pic:blipFill>
                  <pic:spPr bwMode="auto">
                    <a:xfrm>
                      <a:off x="0" y="0"/>
                      <a:ext cx="2762250" cy="3381375"/>
                    </a:xfrm>
                    <a:prstGeom prst="rect">
                      <a:avLst/>
                    </a:prstGeom>
                    <a:noFill/>
                    <a:ln>
                      <a:noFill/>
                    </a:ln>
                    <a:extLst>
                      <a:ext uri="{53640926-AAD7-44D8-BBD7-CCE9431645EC}">
                        <a14:shadowObscured xmlns:a14="http://schemas.microsoft.com/office/drawing/2010/main"/>
                      </a:ext>
                    </a:extLst>
                  </pic:spPr>
                </pic:pic>
              </a:graphicData>
            </a:graphic>
          </wp:inline>
        </w:drawing>
      </w:r>
    </w:p>
    <w:p w14:paraId="18F2630E" w14:textId="77777777" w:rsidR="00351F39" w:rsidRDefault="00351F39" w:rsidP="00351F39">
      <w:pPr>
        <w:pStyle w:val="Caption"/>
        <w:jc w:val="left"/>
      </w:pPr>
      <w:bookmarkStart w:id="18" w:name="_Toc131691446"/>
      <w:r>
        <w:t xml:space="preserve">Supplementary 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4</w:t>
      </w:r>
      <w:r>
        <w:fldChar w:fldCharType="end"/>
      </w:r>
      <w:r>
        <w:t>: Boxplot of probe-to-probe similarities</w:t>
      </w:r>
      <w:bookmarkEnd w:id="18"/>
    </w:p>
    <w:p w14:paraId="25CEC7FC" w14:textId="77777777" w:rsidR="00351F39" w:rsidRDefault="00351F39" w:rsidP="00351F39">
      <w:pPr>
        <w:pStyle w:val="Tabletext"/>
        <w:rPr>
          <w:lang w:val="en-US"/>
        </w:rPr>
      </w:pPr>
      <w:r>
        <w:rPr>
          <w:lang w:val="en-US"/>
        </w:rPr>
        <w:t xml:space="preserve">After all probes have been designed, the similarities of each probe to every other probe </w:t>
      </w:r>
      <w:proofErr w:type="gramStart"/>
      <w:r>
        <w:rPr>
          <w:lang w:val="en-US"/>
        </w:rPr>
        <w:t>is</w:t>
      </w:r>
      <w:proofErr w:type="gramEnd"/>
      <w:r>
        <w:rPr>
          <w:lang w:val="en-US"/>
        </w:rPr>
        <w:t xml:space="preserve"> calculated and visualized. The second and third quartile of these similarities are typically very close to the similarity threshold </w:t>
      </w:r>
      <w:proofErr w:type="gramStart"/>
      <w:r>
        <w:rPr>
          <w:lang w:val="en-US"/>
        </w:rPr>
        <w:t xml:space="preserve">(here </w:t>
      </w:r>
      <w:proofErr w:type="gramEnd"/>
      <w:r>
        <w:rPr>
          <w:lang w:val="en-US"/>
        </w:rPr>
        <w:t>80%). The lowest similarities are probes designed against a sequence of which there is no direct equivalent region due to slight discrepancies in sequence length or the presence of indels.</w:t>
      </w:r>
    </w:p>
    <w:p w14:paraId="08DAD55C" w14:textId="77777777" w:rsidR="00351F39" w:rsidRDefault="00351F39" w:rsidP="00351F39">
      <w:pPr>
        <w:pStyle w:val="Tabletext"/>
        <w:rPr>
          <w:lang w:val="en-US"/>
        </w:rPr>
      </w:pPr>
    </w:p>
    <w:p w14:paraId="4E37D07C" w14:textId="77777777" w:rsidR="00351F39" w:rsidRDefault="00351F39" w:rsidP="00351F39">
      <w:pPr>
        <w:pStyle w:val="Tabletext"/>
        <w:rPr>
          <w:lang w:val="en-US"/>
        </w:rPr>
        <w:sectPr w:rsidR="00351F39" w:rsidSect="00301BB5">
          <w:pgSz w:w="11907" w:h="16840" w:code="9"/>
          <w:pgMar w:top="1701" w:right="1134" w:bottom="1701" w:left="568" w:header="709" w:footer="0" w:gutter="0"/>
          <w:cols w:space="720"/>
          <w:docGrid w:linePitch="360"/>
        </w:sectPr>
      </w:pPr>
    </w:p>
    <w:tbl>
      <w:tblPr>
        <w:tblStyle w:val="TableGrid"/>
        <w:tblW w:w="0" w:type="auto"/>
        <w:jc w:val="center"/>
        <w:tblLook w:val="04A0" w:firstRow="1" w:lastRow="0" w:firstColumn="1" w:lastColumn="0" w:noHBand="0" w:noVBand="1"/>
      </w:tblPr>
      <w:tblGrid>
        <w:gridCol w:w="11553"/>
      </w:tblGrid>
      <w:tr w:rsidR="00351F39" w14:paraId="6FE28A07" w14:textId="77777777" w:rsidTr="0005439D">
        <w:trPr>
          <w:jc w:val="center"/>
        </w:trPr>
        <w:tc>
          <w:tcPr>
            <w:tcW w:w="9628" w:type="dxa"/>
          </w:tcPr>
          <w:p w14:paraId="4E460960" w14:textId="77777777" w:rsidR="00351F39" w:rsidRDefault="00351F39" w:rsidP="0005439D">
            <w:pPr>
              <w:jc w:val="center"/>
            </w:pPr>
            <w:r>
              <w:lastRenderedPageBreak/>
              <w:br w:type="page"/>
            </w:r>
            <w:r>
              <w:rPr>
                <w:noProof/>
              </w:rPr>
              <w:drawing>
                <wp:inline distT="0" distB="0" distL="0" distR="0" wp14:anchorId="19FDF645" wp14:editId="1AB18F74">
                  <wp:extent cx="7198995" cy="2142490"/>
                  <wp:effectExtent l="0" t="0" r="0" b="0"/>
                  <wp:docPr id="24" name="Picture 24" descr="Schematic,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hematic, box and whisker chart&#10;&#10;Description automatically generated with medium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717"/>
                          <a:stretch/>
                        </pic:blipFill>
                        <pic:spPr bwMode="auto">
                          <a:xfrm>
                            <a:off x="0" y="0"/>
                            <a:ext cx="7198995" cy="21424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1F39" w14:paraId="13816A80" w14:textId="77777777" w:rsidTr="0005439D">
        <w:trPr>
          <w:jc w:val="center"/>
        </w:trPr>
        <w:tc>
          <w:tcPr>
            <w:tcW w:w="9628" w:type="dxa"/>
          </w:tcPr>
          <w:p w14:paraId="60D62CCC" w14:textId="77777777" w:rsidR="00351F39" w:rsidRPr="000712A8" w:rsidRDefault="00351F39" w:rsidP="0005439D">
            <w:r>
              <w:rPr>
                <w:noProof/>
              </w:rPr>
              <w:drawing>
                <wp:inline distT="0" distB="0" distL="0" distR="0" wp14:anchorId="537B5A91" wp14:editId="3E4E4B63">
                  <wp:extent cx="7198995" cy="2142490"/>
                  <wp:effectExtent l="0" t="0" r="0" b="0"/>
                  <wp:docPr id="30" name="Picture 30" descr="Chart, timelin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timeline, box and whisker cha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717"/>
                          <a:stretch/>
                        </pic:blipFill>
                        <pic:spPr bwMode="auto">
                          <a:xfrm>
                            <a:off x="0" y="0"/>
                            <a:ext cx="7200000" cy="214278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6DF628D" w14:textId="77777777" w:rsidR="00351F39" w:rsidRDefault="00351F39" w:rsidP="00351F39">
      <w:pPr>
        <w:pStyle w:val="Caption"/>
      </w:pPr>
      <w:bookmarkStart w:id="19" w:name="_Toc131691447"/>
      <w:r>
        <w:t xml:space="preserve">Supplementary 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5</w:t>
      </w:r>
      <w:r>
        <w:fldChar w:fldCharType="end"/>
      </w:r>
      <w:r>
        <w:t xml:space="preserve">: Figure from quality control of probe design - maps of </w:t>
      </w:r>
      <w:r w:rsidRPr="000712A8">
        <w:t>prob</w:t>
      </w:r>
      <w:r>
        <w:t>e-reference alignments</w:t>
      </w:r>
      <w:bookmarkEnd w:id="19"/>
    </w:p>
    <w:p w14:paraId="22D4A1F4" w14:textId="77777777" w:rsidR="00351F39" w:rsidRDefault="00351F39" w:rsidP="00351F39">
      <w:pPr>
        <w:pStyle w:val="Tabletext"/>
      </w:pPr>
      <w:r>
        <w:rPr>
          <w:lang w:val="en-US"/>
        </w:rPr>
        <w:t xml:space="preserve">Figures </w:t>
      </w:r>
      <w:r>
        <w:t xml:space="preserve">are examples of probe coverage visualizations generated automatically at the end of the pipeline to help evaluate the performance of the probe design process. </w:t>
      </w:r>
      <w:r>
        <w:rPr>
          <w:lang w:val="en-US"/>
        </w:rPr>
        <w:t>Figures show the</w:t>
      </w:r>
      <w:r>
        <w:t xml:space="preserve"> best possible alignment for each probe generated during the probe designing process against two distinct input references. Darker probes show the initial probes made from the consensus sequence of all sequences. Lighter probes were generated when looping over references.</w:t>
      </w:r>
    </w:p>
    <w:tbl>
      <w:tblPr>
        <w:tblStyle w:val="TableGrid"/>
        <w:tblW w:w="0" w:type="auto"/>
        <w:jc w:val="center"/>
        <w:tblLook w:val="04A0" w:firstRow="1" w:lastRow="0" w:firstColumn="1" w:lastColumn="0" w:noHBand="0" w:noVBand="1"/>
      </w:tblPr>
      <w:tblGrid>
        <w:gridCol w:w="10347"/>
      </w:tblGrid>
      <w:tr w:rsidR="00351F39" w14:paraId="3F098BA1" w14:textId="77777777" w:rsidTr="0005439D">
        <w:trPr>
          <w:jc w:val="center"/>
        </w:trPr>
        <w:tc>
          <w:tcPr>
            <w:tcW w:w="9629" w:type="dxa"/>
          </w:tcPr>
          <w:p w14:paraId="5255C23D" w14:textId="77777777" w:rsidR="00351F39" w:rsidRDefault="00351F39" w:rsidP="0005439D">
            <w:pPr>
              <w:jc w:val="center"/>
            </w:pPr>
            <w:r>
              <w:rPr>
                <w:noProof/>
              </w:rPr>
              <w:lastRenderedPageBreak/>
              <w:drawing>
                <wp:inline distT="0" distB="0" distL="0" distR="0" wp14:anchorId="5CAEDF38" wp14:editId="3BB64168">
                  <wp:extent cx="6433665" cy="2142000"/>
                  <wp:effectExtent l="0" t="0" r="0" b="0"/>
                  <wp:docPr id="25" name="Picture 25"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ime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3665" cy="2142000"/>
                          </a:xfrm>
                          <a:prstGeom prst="rect">
                            <a:avLst/>
                          </a:prstGeom>
                          <a:noFill/>
                          <a:ln>
                            <a:noFill/>
                          </a:ln>
                        </pic:spPr>
                      </pic:pic>
                    </a:graphicData>
                  </a:graphic>
                </wp:inline>
              </w:drawing>
            </w:r>
          </w:p>
        </w:tc>
      </w:tr>
      <w:tr w:rsidR="00351F39" w14:paraId="35EC243B" w14:textId="77777777" w:rsidTr="0005439D">
        <w:trPr>
          <w:jc w:val="center"/>
        </w:trPr>
        <w:tc>
          <w:tcPr>
            <w:tcW w:w="9629" w:type="dxa"/>
          </w:tcPr>
          <w:p w14:paraId="6C3E87C9" w14:textId="77777777" w:rsidR="00351F39" w:rsidRPr="000712A8" w:rsidRDefault="00351F39" w:rsidP="0005439D">
            <w:pPr>
              <w:pStyle w:val="Caption"/>
            </w:pPr>
            <w:r>
              <w:rPr>
                <w:noProof/>
              </w:rPr>
              <w:drawing>
                <wp:inline distT="0" distB="0" distL="0" distR="0" wp14:anchorId="59F8195B" wp14:editId="1DF1AB73">
                  <wp:extent cx="6433665" cy="2142000"/>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3665" cy="2142000"/>
                          </a:xfrm>
                          <a:prstGeom prst="rect">
                            <a:avLst/>
                          </a:prstGeom>
                          <a:noFill/>
                          <a:ln>
                            <a:noFill/>
                          </a:ln>
                        </pic:spPr>
                      </pic:pic>
                    </a:graphicData>
                  </a:graphic>
                </wp:inline>
              </w:drawing>
            </w:r>
          </w:p>
        </w:tc>
      </w:tr>
    </w:tbl>
    <w:p w14:paraId="3F36A8CD" w14:textId="77777777" w:rsidR="00351F39" w:rsidRDefault="00351F39" w:rsidP="00351F39">
      <w:pPr>
        <w:pStyle w:val="Caption"/>
      </w:pPr>
    </w:p>
    <w:p w14:paraId="2EF6913F" w14:textId="77777777" w:rsidR="00351F39" w:rsidRDefault="00351F39" w:rsidP="00351F39">
      <w:pPr>
        <w:pStyle w:val="Caption"/>
        <w:jc w:val="left"/>
      </w:pPr>
      <w:bookmarkStart w:id="20" w:name="_Toc131691448"/>
      <w:r>
        <w:t xml:space="preserve">Supplementary 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6</w:t>
      </w:r>
      <w:r>
        <w:fldChar w:fldCharType="end"/>
      </w:r>
      <w:r>
        <w:t>: Figure from quality control of probe design - probe-reference alignments with different launch options</w:t>
      </w:r>
      <w:bookmarkEnd w:id="20"/>
    </w:p>
    <w:p w14:paraId="442EF062" w14:textId="77777777" w:rsidR="00351F39" w:rsidRDefault="00351F39" w:rsidP="00351F39">
      <w:pPr>
        <w:pStyle w:val="Tabletext"/>
        <w:rPr>
          <w:lang w:val="en-US"/>
        </w:rPr>
      </w:pPr>
      <w:r>
        <w:rPr>
          <w:lang w:val="en-US"/>
        </w:rPr>
        <w:t>Top: A HCV6b reference genome with probes designed only against HCV1, 2, 3, and 4.</w:t>
      </w:r>
    </w:p>
    <w:p w14:paraId="57C8B8EA" w14:textId="77777777" w:rsidR="00351F39" w:rsidRDefault="00351F39" w:rsidP="00351F39">
      <w:pPr>
        <w:pStyle w:val="Tabletext"/>
        <w:rPr>
          <w:lang w:val="en-US"/>
        </w:rPr>
      </w:pPr>
      <w:r>
        <w:rPr>
          <w:lang w:val="en-US"/>
        </w:rPr>
        <w:t>Bottom: A HCV1b genome where consensuses of genotypes 1-7 were used for initial probe design. The colors of probes correspond to the originating genotype of different sets of initial probes.</w:t>
      </w:r>
    </w:p>
    <w:p w14:paraId="4A6AD6A1" w14:textId="77777777" w:rsidR="00351F39" w:rsidRDefault="00351F39" w:rsidP="00351F39">
      <w:pPr>
        <w:spacing w:line="259" w:lineRule="auto"/>
        <w:jc w:val="center"/>
      </w:pPr>
      <w:r w:rsidRPr="00BA1B49">
        <w:rPr>
          <w:noProof/>
        </w:rPr>
        <w:lastRenderedPageBreak/>
        <w:drawing>
          <wp:inline distT="0" distB="0" distL="0" distR="0" wp14:anchorId="5B4B2A20" wp14:editId="6D9BF52C">
            <wp:extent cx="5403793" cy="1620000"/>
            <wp:effectExtent l="0" t="0" r="0" b="0"/>
            <wp:docPr id="1094507597" name="Picture 1" descr="Chart, timelin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07597" name="Picture 1" descr="Chart, timeline, box and whisker chart&#10;&#10;Description automatically generated"/>
                    <pic:cNvPicPr/>
                  </pic:nvPicPr>
                  <pic:blipFill rotWithShape="1">
                    <a:blip r:embed="rId14"/>
                    <a:srcRect t="10056"/>
                    <a:stretch/>
                  </pic:blipFill>
                  <pic:spPr bwMode="auto">
                    <a:xfrm>
                      <a:off x="0" y="0"/>
                      <a:ext cx="5403793" cy="1620000"/>
                    </a:xfrm>
                    <a:prstGeom prst="rect">
                      <a:avLst/>
                    </a:prstGeom>
                    <a:ln>
                      <a:noFill/>
                    </a:ln>
                    <a:extLst>
                      <a:ext uri="{53640926-AAD7-44D8-BBD7-CCE9431645EC}">
                        <a14:shadowObscured xmlns:a14="http://schemas.microsoft.com/office/drawing/2010/main"/>
                      </a:ext>
                    </a:extLst>
                  </pic:spPr>
                </pic:pic>
              </a:graphicData>
            </a:graphic>
          </wp:inline>
        </w:drawing>
      </w:r>
      <w:r w:rsidRPr="00BA1B49">
        <w:rPr>
          <w:noProof/>
        </w:rPr>
        <w:drawing>
          <wp:inline distT="0" distB="0" distL="0" distR="0" wp14:anchorId="13199A3D" wp14:editId="583ED65F">
            <wp:extent cx="5403793" cy="1620000"/>
            <wp:effectExtent l="0" t="0" r="0" b="0"/>
            <wp:docPr id="1727385808"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85808" name="Picture 1" descr="Timeline&#10;&#10;Description automatically generated"/>
                    <pic:cNvPicPr/>
                  </pic:nvPicPr>
                  <pic:blipFill rotWithShape="1">
                    <a:blip r:embed="rId15"/>
                    <a:srcRect t="10056"/>
                    <a:stretch/>
                  </pic:blipFill>
                  <pic:spPr bwMode="auto">
                    <a:xfrm>
                      <a:off x="0" y="0"/>
                      <a:ext cx="5403793" cy="1620000"/>
                    </a:xfrm>
                    <a:prstGeom prst="rect">
                      <a:avLst/>
                    </a:prstGeom>
                    <a:ln>
                      <a:noFill/>
                    </a:ln>
                    <a:extLst>
                      <a:ext uri="{53640926-AAD7-44D8-BBD7-CCE9431645EC}">
                        <a14:shadowObscured xmlns:a14="http://schemas.microsoft.com/office/drawing/2010/main"/>
                      </a:ext>
                    </a:extLst>
                  </pic:spPr>
                </pic:pic>
              </a:graphicData>
            </a:graphic>
          </wp:inline>
        </w:drawing>
      </w:r>
      <w:r w:rsidRPr="00BA1B49">
        <w:rPr>
          <w:noProof/>
        </w:rPr>
        <w:drawing>
          <wp:inline distT="0" distB="0" distL="0" distR="0" wp14:anchorId="7DB2EDE6" wp14:editId="545D8644">
            <wp:extent cx="5468148" cy="1620000"/>
            <wp:effectExtent l="0" t="0" r="0" b="0"/>
            <wp:docPr id="1456997706"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97706" name="Picture 1" descr="Timeline&#10;&#10;Description automatically generated"/>
                    <pic:cNvPicPr/>
                  </pic:nvPicPr>
                  <pic:blipFill rotWithShape="1">
                    <a:blip r:embed="rId16"/>
                    <a:srcRect t="11115"/>
                    <a:stretch/>
                  </pic:blipFill>
                  <pic:spPr bwMode="auto">
                    <a:xfrm>
                      <a:off x="0" y="0"/>
                      <a:ext cx="5468148" cy="1620000"/>
                    </a:xfrm>
                    <a:prstGeom prst="rect">
                      <a:avLst/>
                    </a:prstGeom>
                    <a:ln>
                      <a:noFill/>
                    </a:ln>
                    <a:extLst>
                      <a:ext uri="{53640926-AAD7-44D8-BBD7-CCE9431645EC}">
                        <a14:shadowObscured xmlns:a14="http://schemas.microsoft.com/office/drawing/2010/main"/>
                      </a:ext>
                    </a:extLst>
                  </pic:spPr>
                </pic:pic>
              </a:graphicData>
            </a:graphic>
          </wp:inline>
        </w:drawing>
      </w:r>
    </w:p>
    <w:p w14:paraId="7FB8AE5C" w14:textId="77777777" w:rsidR="00351F39" w:rsidRDefault="00351F39" w:rsidP="00351F39">
      <w:pPr>
        <w:pStyle w:val="Caption"/>
        <w:jc w:val="left"/>
      </w:pPr>
      <w:bookmarkStart w:id="21" w:name="_Toc131691449"/>
      <w:r>
        <w:t xml:space="preserve">Supplementary 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7</w:t>
      </w:r>
      <w:r>
        <w:fldChar w:fldCharType="end"/>
      </w:r>
      <w:r>
        <w:t>: Comparison of probe-reference alignments for a single HCV2a reference</w:t>
      </w:r>
      <w:bookmarkEnd w:id="21"/>
      <w:r>
        <w:t xml:space="preserve"> (HQ639944) using different </w:t>
      </w:r>
      <w:proofErr w:type="gramStart"/>
      <w:r>
        <w:t>tools</w:t>
      </w:r>
      <w:proofErr w:type="gramEnd"/>
    </w:p>
    <w:p w14:paraId="6B05F163" w14:textId="7F8BE43C" w:rsidR="00B94BFB" w:rsidRDefault="00351F39" w:rsidP="00351F39">
      <w:pPr>
        <w:pStyle w:val="Tabletext"/>
        <w:rPr>
          <w:lang w:val="en-US"/>
        </w:rPr>
      </w:pPr>
      <w:r>
        <w:rPr>
          <w:lang w:val="en-US"/>
        </w:rPr>
        <w:t xml:space="preserve">Top: Our tool (768 probes), middle: CATCH (1,866 probes), bottom: </w:t>
      </w:r>
      <w:proofErr w:type="spellStart"/>
      <w:r>
        <w:rPr>
          <w:lang w:val="en-US"/>
        </w:rPr>
        <w:t>ProbeTools</w:t>
      </w:r>
      <w:proofErr w:type="spellEnd"/>
      <w:r>
        <w:rPr>
          <w:lang w:val="en-US"/>
        </w:rPr>
        <w:t xml:space="preserve"> (3,100 probes)</w:t>
      </w:r>
    </w:p>
    <w:p w14:paraId="237BD3A4" w14:textId="77777777" w:rsidR="00252ABA" w:rsidRDefault="00252ABA" w:rsidP="00252ABA">
      <w:pPr>
        <w:spacing w:line="259" w:lineRule="auto"/>
        <w:jc w:val="left"/>
        <w:sectPr w:rsidR="00252ABA" w:rsidSect="00252ABA">
          <w:pgSz w:w="16838" w:h="11906" w:orient="landscape"/>
          <w:pgMar w:top="1134" w:right="1701" w:bottom="1134" w:left="1701" w:header="708" w:footer="708" w:gutter="0"/>
          <w:cols w:space="708"/>
          <w:docGrid w:linePitch="360"/>
        </w:sectPr>
      </w:pPr>
    </w:p>
    <w:p w14:paraId="15FBFFAA" w14:textId="0395C38E" w:rsidR="00351F39" w:rsidRDefault="00B94BFB" w:rsidP="00252ABA">
      <w:pPr>
        <w:pStyle w:val="Heading2"/>
      </w:pPr>
      <w:r>
        <w:lastRenderedPageBreak/>
        <w:t>Bibliography</w:t>
      </w:r>
    </w:p>
    <w:p w14:paraId="545A9631" w14:textId="1912AD80" w:rsidR="00B94BFB" w:rsidRPr="00B94BFB" w:rsidRDefault="00B94BFB" w:rsidP="00B94BFB">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Pr="00B94BFB">
        <w:rPr>
          <w:rFonts w:ascii="Calibri" w:hAnsi="Calibri" w:cs="Calibri"/>
          <w:noProof/>
        </w:rPr>
        <w:t>[1]</w:t>
      </w:r>
      <w:r w:rsidRPr="00B94BFB">
        <w:rPr>
          <w:rFonts w:ascii="Calibri" w:hAnsi="Calibri" w:cs="Calibri"/>
          <w:noProof/>
        </w:rPr>
        <w:tab/>
        <w:t>L. Mamanova, A.J. Coffey, C.E. Scott, I. Kozarewa, E.H. Turner, A. Kumar, E. Howard, J. Shendure, D.J. Turner, Target-enrichment strategies for next-generation sequencing, Nat. Methods 2010 72. 7 (2010) 111–118. https://doi.org/10.1038/nmeth.1419.</w:t>
      </w:r>
    </w:p>
    <w:p w14:paraId="3240C2AC"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t>[2]</w:t>
      </w:r>
      <w:r w:rsidRPr="00B94BFB">
        <w:rPr>
          <w:rFonts w:ascii="Calibri" w:hAnsi="Calibri" w:cs="Calibri"/>
          <w:noProof/>
        </w:rPr>
        <w:tab/>
        <w:t>R.A. Bull, A.A. Eltahla, C. Rodrigo, S.M. Koekkoek, M. Walker, M.R. Pirozyan, B. Betz-Stablein, A. Toepfer, M. Laird, S. Oh, C. Heiner, L. Maher, J. Schinkel, A.R. Lloyd, F. Luciani, A method for near full-length amplification and sequencing for six hepatitis C virus genotypes, BMC Genomics. 17 (2016) 1–10. https://doi.org/10.1186/S12864-016-2575-8/FIGURES/4.</w:t>
      </w:r>
    </w:p>
    <w:p w14:paraId="79791766"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t>[3]</w:t>
      </w:r>
      <w:r w:rsidRPr="00B94BFB">
        <w:rPr>
          <w:rFonts w:ascii="Calibri" w:hAnsi="Calibri" w:cs="Calibri"/>
          <w:noProof/>
        </w:rPr>
        <w:tab/>
        <w:t>G.H. Kijak, E. Sanders-Buell, P. Pham, E.A. Harbolick, C. Oropeza, A.M. O’Sullivan, M. Bose, C.G. Beckett, M. Milazzo, M.L. Robb, S.A. Peel, P.T. Scott, N.L. Michael, A.W. Armstrong, J.H. Kim, D.M. Brett-Major, S. Tovanabutra, Next-generation sequencing of HIV-1 single genome amplicons, Biomol. Detect. Quantif. 17 (2019). https://doi.org/10.1016/J.BDQ.2019.01.002.</w:t>
      </w:r>
    </w:p>
    <w:p w14:paraId="358398DE"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t>[4]</w:t>
      </w:r>
      <w:r w:rsidRPr="00B94BFB">
        <w:rPr>
          <w:rFonts w:ascii="Calibri" w:hAnsi="Calibri" w:cs="Calibri"/>
          <w:noProof/>
        </w:rPr>
        <w:tab/>
        <w:t>J.R. Brown, S. Roy, C. Ruis, E. Yara Romero, D. Shah, R. Williams, J. Breuer, Norovirus whole-genome sequencing by SureSelect target enrichment: A robust and sensitive method, J. Clin. Microbiol. 54 (2016) 2530–2537. https://doi.org/10.1128/JCM.01052-16.</w:t>
      </w:r>
    </w:p>
    <w:p w14:paraId="148C5D62"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t>[5]</w:t>
      </w:r>
      <w:r w:rsidRPr="00B94BFB">
        <w:rPr>
          <w:rFonts w:ascii="Calibri" w:hAnsi="Calibri" w:cs="Calibri"/>
          <w:noProof/>
        </w:rPr>
        <w:tab/>
        <w:t>C.M. Rousseau, B.A. Birditt, A.R. McKay, J.N. Stoddard, T.C. Lee, S. McLaughlin, S.W. Moore, N. Shindo, G.H. Learn, B.T. Korber, C. Brander, P.J.R. Goulder, P. Kiepiela, B.D. Walker, J.I. Mullins, Large-scale amplification, cloning and sequencing of near full-length HIV-1 subtype C genomes, J. Virol. Methods. 136 (2006) 118–125. https://doi.org/10.1016/J.JVIROMET.2006.04.009.</w:t>
      </w:r>
    </w:p>
    <w:p w14:paraId="67E73F2F"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t>[6]</w:t>
      </w:r>
      <w:r w:rsidRPr="00B94BFB">
        <w:rPr>
          <w:rFonts w:ascii="Calibri" w:hAnsi="Calibri" w:cs="Calibri"/>
          <w:noProof/>
        </w:rPr>
        <w:tab/>
        <w:t>D. Bonsall, M.A. Ansari, C. Ip, A. Trebes, A. Brown, P. Klenerman, D. Buck, STOP-HCV Consortium, P. Piazza, E. Barnes, R. Bowden, ve-SEQ: Robust, unbiased enrichment for streamlined detection and whole-genome sequencing of HCV and other highly diverse pathogens., F1000Research. 4 (2015) 1062. https://doi.org/10.12688/f1000research.7111.1.</w:t>
      </w:r>
    </w:p>
    <w:p w14:paraId="2D6FCBF6"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t>[7]</w:t>
      </w:r>
      <w:r w:rsidRPr="00B94BFB">
        <w:rPr>
          <w:rFonts w:ascii="Calibri" w:hAnsi="Calibri" w:cs="Calibri"/>
          <w:noProof/>
        </w:rPr>
        <w:tab/>
        <w:t xml:space="preserve">J. Yamaguchi, A. Olivo, O. Laeyendecker, K. Forberg, N. Ndembi, D. Mbanya, L. Kaptue, T.C. Quinn, G.A. Cloherty, M.A. Rodgers, M.G. Berg, Universal Target Capture of HIV Sequences </w:t>
      </w:r>
      <w:r w:rsidRPr="00B94BFB">
        <w:rPr>
          <w:rFonts w:ascii="Calibri" w:hAnsi="Calibri" w:cs="Calibri"/>
          <w:noProof/>
        </w:rPr>
        <w:lastRenderedPageBreak/>
        <w:t>From NGS Libraries, Front. Microbiol. 9 (2018). https://doi.org/10.3389/FMICB.2018.02150.</w:t>
      </w:r>
    </w:p>
    <w:p w14:paraId="34F066B2"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t>[8]</w:t>
      </w:r>
      <w:r w:rsidRPr="00B94BFB">
        <w:rPr>
          <w:rFonts w:ascii="Calibri" w:hAnsi="Calibri" w:cs="Calibri"/>
          <w:noProof/>
        </w:rPr>
        <w:tab/>
        <w:t>T.N. Wylie, K.M. Wylie, B.N. Herter, G.A. Storch, Enhanced virome sequencing using targeted sequence capture, Genome Res. 25 (2015) 1910–1920. https://doi.org/10.1101/GR.191049.115.</w:t>
      </w:r>
    </w:p>
    <w:p w14:paraId="05A09BB3"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t>[9]</w:t>
      </w:r>
      <w:r w:rsidRPr="00B94BFB">
        <w:rPr>
          <w:rFonts w:ascii="Calibri" w:hAnsi="Calibri" w:cs="Calibri"/>
          <w:noProof/>
        </w:rPr>
        <w:tab/>
        <w:t>A.C. Paskey, K.G. Frey, G. Schroth, S. Gross, T. Hamilton, K.A. Bishop-Lilly, Enrichment post-library preparation enhances the sensitivity of high-throughput sequencing-based detection and characterization of viruses from complex samples, BMC Genomics. 20 (2019). https://doi.org/10.1186/S12864-019-5543-2.</w:t>
      </w:r>
    </w:p>
    <w:p w14:paraId="7D81DE1E"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t>[10]</w:t>
      </w:r>
      <w:r w:rsidRPr="00B94BFB">
        <w:rPr>
          <w:rFonts w:ascii="Calibri" w:hAnsi="Calibri" w:cs="Calibri"/>
          <w:noProof/>
        </w:rPr>
        <w:tab/>
        <w:t>C. Wylezich, S. Calvelage, K. Schlottau, U. Ziegler, A. Pohlmann, D. Höper, M. Beer, Next-generation diagnostics: virus capture facilitates a sensitive viral diagnosis for epizootic and zoonotic pathogens including SARS-CoV-2, Microbiome. 9 (2021). https://doi.org/10.1186/S40168-020-00973-Z.</w:t>
      </w:r>
    </w:p>
    <w:p w14:paraId="7A3318A9"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t>[11]</w:t>
      </w:r>
      <w:r w:rsidRPr="00B94BFB">
        <w:rPr>
          <w:rFonts w:ascii="Calibri" w:hAnsi="Calibri" w:cs="Calibri"/>
          <w:noProof/>
        </w:rPr>
        <w:tab/>
        <w:t>Y. Xiao, J.M. Nolting, Z.M. Sheng, T. Bristol, L. Qi, A.S. Bowman, J.K. Taubenberger, Design and validation of a universal influenza virus enrichment probe set and its utility in deep sequence analysis of primary cloacal swab surveillance samples of wild birds, Virology. 524 (2018) 182. https://doi.org/10.1016/J.VIROL.2018.08.021.</w:t>
      </w:r>
    </w:p>
    <w:p w14:paraId="1545FDAA"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t>[12]</w:t>
      </w:r>
      <w:r w:rsidRPr="00B94BFB">
        <w:rPr>
          <w:rFonts w:ascii="Calibri" w:hAnsi="Calibri" w:cs="Calibri"/>
          <w:noProof/>
        </w:rPr>
        <w:tab/>
        <w:t>B.M. O’Flaherty, Y. Li, Y. Tao, C.R. Paden, K. Queen, J. Zhang, D.L. Dinwiddie, S.M. Gross, G.P. Schroth, S. Tong, Comprehensive viral enrichment enables sensitive respiratory virus genomic identification and analysis by next generation sequencing, Genome Res. 28 (2018) 869–877. https://doi.org/10.1101/GR.226316.117/-/DC1.</w:t>
      </w:r>
    </w:p>
    <w:p w14:paraId="39211662"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t>[13]</w:t>
      </w:r>
      <w:r w:rsidRPr="00B94BFB">
        <w:rPr>
          <w:rFonts w:ascii="Calibri" w:hAnsi="Calibri" w:cs="Calibri"/>
          <w:noProof/>
        </w:rPr>
        <w:tab/>
        <w:t>T.K. Chafin, M.R. Douglas, M.E. Douglas, MrBait: universal identification and design of targeted-enrichment capture probes, Bioinformatics. 34 (2018) 4293–4296. https://doi.org/10.1093/BIOINFORMATICS/BTY548.</w:t>
      </w:r>
    </w:p>
    <w:p w14:paraId="45648D36"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t>[14]</w:t>
      </w:r>
      <w:r w:rsidRPr="00B94BFB">
        <w:rPr>
          <w:rFonts w:ascii="Calibri" w:hAnsi="Calibri" w:cs="Calibri"/>
          <w:noProof/>
        </w:rPr>
        <w:tab/>
        <w:t>B.J. Beliveau, J.Y. Kishi, G. Nir, H.M. Sasaki, S.K. Saka, S.C. Nguyen, C. ting Wu, P. Yin, OligoMiner provides a rapid, flexible environment for the design of genome-scale oligonucleotide in situ hybridization probes, Proc. Natl. Acad. Sci. U. S. A. 115 (2018) E2183–E2192. https://doi.org/10.1073/PNAS.1714530115/SUPPL_FILE/PNAS.1714530115.SD02.PDF.</w:t>
      </w:r>
    </w:p>
    <w:p w14:paraId="3D8A21C4"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lastRenderedPageBreak/>
        <w:t>[15]</w:t>
      </w:r>
      <w:r w:rsidRPr="00B94BFB">
        <w:rPr>
          <w:rFonts w:ascii="Calibri" w:hAnsi="Calibri" w:cs="Calibri"/>
          <w:noProof/>
        </w:rPr>
        <w:tab/>
        <w:t>C. Mayer, M. Sann, A. Donath, M. Meixner, L. Podsiadlowski, R.S. Peters, M. Petersen, K. Meusemann, K. Liere, J.W. Wagele, B. Misof, C. Bleidorn, M. Ohl, O. Niehuis, BaitFisher: A Software Package for Multispecies Target DNA Enrichment Probe Design, Mol. Biol. Evol. 33 (2016) 1875–1886. https://doi.org/10.1093/MOLBEV/MSW056.</w:t>
      </w:r>
    </w:p>
    <w:p w14:paraId="773E2B2D"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t>[16]</w:t>
      </w:r>
      <w:r w:rsidRPr="00B94BFB">
        <w:rPr>
          <w:rFonts w:ascii="Calibri" w:hAnsi="Calibri" w:cs="Calibri"/>
          <w:noProof/>
        </w:rPr>
        <w:tab/>
        <w:t>S.K. Kushwaha, L. Manoharan, T. Meerupati, K. Hedlund, D. Ahrén, MetCap: A bioinformatics probe design pipeline for large-scale targeted metagenomics, BMC Bioinformatics. 16 (2015) 1–11. https://doi.org/10.1186/S12859-015-0501-8/FIGURES/7.</w:t>
      </w:r>
    </w:p>
    <w:p w14:paraId="270B486C"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t>[17]</w:t>
      </w:r>
      <w:r w:rsidRPr="00B94BFB">
        <w:rPr>
          <w:rFonts w:ascii="Calibri" w:hAnsi="Calibri" w:cs="Calibri"/>
          <w:noProof/>
        </w:rPr>
        <w:tab/>
        <w:t>R.C. Edgar, MUSCLE: multiple sequence alignment with high accuracy and high throughput, Nucleic Acids Res. 32 (2004) 1792–1797. https://doi.org/10.1093/nar/gkh340.</w:t>
      </w:r>
    </w:p>
    <w:p w14:paraId="76E62070"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t>[18]</w:t>
      </w:r>
      <w:r w:rsidRPr="00B94BFB">
        <w:rPr>
          <w:rFonts w:ascii="Calibri" w:hAnsi="Calibri" w:cs="Calibri"/>
          <w:noProof/>
        </w:rPr>
        <w:tab/>
        <w:t>K.S. Kuchinski, J. Duan, C. Himsworth, W. Hsiao, N.A. Prystajecky, ProbeTools: designing hybridization probes for targeted genomic sequencing of diverse and hypervariable viral taxa, BMC Genomics. 23 (2022) 1–14. https://doi.org/10.1186/S12864-022-08790-4/TABLES/2.</w:t>
      </w:r>
    </w:p>
    <w:p w14:paraId="75775448"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t>[19]</w:t>
      </w:r>
      <w:r w:rsidRPr="00B94BFB">
        <w:rPr>
          <w:rFonts w:ascii="Calibri" w:hAnsi="Calibri" w:cs="Calibri"/>
          <w:noProof/>
        </w:rPr>
        <w:tab/>
        <w:t>T. Rognes, T. Flouri, B. Nichols, C. Quince, F. Mahé, VSEARCH: a versatile open source tool for metagenomics, PeerJ. 4 (2016). https://doi.org/10.7717/PEERJ.2584.</w:t>
      </w:r>
    </w:p>
    <w:p w14:paraId="7DE94810"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t>[20]</w:t>
      </w:r>
      <w:r w:rsidRPr="00B94BFB">
        <w:rPr>
          <w:rFonts w:ascii="Calibri" w:hAnsi="Calibri" w:cs="Calibri"/>
          <w:noProof/>
        </w:rPr>
        <w:tab/>
        <w:t>H.C. Metsky, K.J. Siddle, A. Gladden-Young, J. Qu, D.K. Yang, P. Brehio, A. Goldfarb, A. Piantadosi, S. Wohl, A. Carter, A.E. Lin, K.G. Barnes, D.C. Tully, B. Corleis, S. Hennigan, G. Barbosa-Lima, Y.R. Vieira, L.M. Paul, A.L. Tan, K.F. Garcia, L.A. Parham, I. Odia, P. Eromon, O.A. Folarin, A. Goba, E. Simon-Lorière, L. Hensley, A. Balmaseda, E. Harris, D.S. Kwon, T.M. Allen, J.A. Runstadler, S. Smole, F.A. Bozza, T.M.L. Souza, S. Isern, S.F. Michael, I. Lorenzana, L. Gehrke, I. Bosch, G. Ebel, D.S. Grant, C.T. Happi, D.J. Park, A. Gnirke, P.C. Sabeti, C.B. Matranga, Capturing sequence diversity in metagenomes with comprehensive and scalable probe design, Nat. Biotechnol. 2019 372. 37 (2019) 160–168. https://doi.org/10.1038/s41587-018-0006-x.</w:t>
      </w:r>
    </w:p>
    <w:p w14:paraId="797E7C07" w14:textId="77777777" w:rsidR="00B94BFB" w:rsidRPr="00B94BFB" w:rsidRDefault="00B94BFB" w:rsidP="00B94BFB">
      <w:pPr>
        <w:widowControl w:val="0"/>
        <w:autoSpaceDE w:val="0"/>
        <w:autoSpaceDN w:val="0"/>
        <w:adjustRightInd w:val="0"/>
        <w:ind w:left="640" w:hanging="640"/>
        <w:rPr>
          <w:rFonts w:ascii="Calibri" w:hAnsi="Calibri" w:cs="Calibri"/>
          <w:noProof/>
        </w:rPr>
      </w:pPr>
      <w:r w:rsidRPr="00B94BFB">
        <w:rPr>
          <w:rFonts w:ascii="Calibri" w:hAnsi="Calibri" w:cs="Calibri"/>
          <w:noProof/>
        </w:rPr>
        <w:t>[21]</w:t>
      </w:r>
      <w:r w:rsidRPr="00B94BFB">
        <w:rPr>
          <w:rFonts w:ascii="Calibri" w:hAnsi="Calibri" w:cs="Calibri"/>
          <w:noProof/>
        </w:rPr>
        <w:tab/>
        <w:t>T. Briese, A. Kapoor, N. Mishra, K. Jain, A. Kumar, O.J. Jabado, W. Ian Lipkina, Virome Capture Sequencing Enables Sensitive Viral Diagnosis and Comprehensive Virome Analysis, MBio. 6 (2015). https://doi.org/10.1128/MBIO.01491-15.</w:t>
      </w:r>
    </w:p>
    <w:p w14:paraId="3DC53817" w14:textId="43579920" w:rsidR="00B2468C" w:rsidRDefault="00B94BFB">
      <w:r>
        <w:fldChar w:fldCharType="end"/>
      </w:r>
    </w:p>
    <w:sectPr w:rsidR="00B2468C" w:rsidSect="00252AB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80E76"/>
    <w:multiLevelType w:val="multilevel"/>
    <w:tmpl w:val="BB9C078A"/>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3695"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478D2052"/>
    <w:multiLevelType w:val="hybridMultilevel"/>
    <w:tmpl w:val="000C1794"/>
    <w:lvl w:ilvl="0" w:tplc="E27659A2">
      <w:numFmt w:val="bullet"/>
      <w:lvlText w:val="-"/>
      <w:lvlJc w:val="left"/>
      <w:pPr>
        <w:ind w:left="720" w:hanging="360"/>
      </w:pPr>
      <w:rPr>
        <w:rFonts w:ascii="Calibri Light" w:eastAsiaTheme="maj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5D7714"/>
    <w:multiLevelType w:val="hybridMultilevel"/>
    <w:tmpl w:val="1AA6B196"/>
    <w:lvl w:ilvl="0" w:tplc="7B141F4C">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47987417">
    <w:abstractNumId w:val="0"/>
  </w:num>
  <w:num w:numId="2" w16cid:durableId="1935431331">
    <w:abstractNumId w:val="1"/>
  </w:num>
  <w:num w:numId="3" w16cid:durableId="14360563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F39"/>
    <w:rsid w:val="00252ABA"/>
    <w:rsid w:val="00351F39"/>
    <w:rsid w:val="00B2468C"/>
    <w:rsid w:val="00B94BFB"/>
    <w:rsid w:val="00E464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0C09A"/>
  <w15:chartTrackingRefBased/>
  <w15:docId w15:val="{3D491BC0-D1F1-40E1-9186-6B832E45C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F39"/>
    <w:pPr>
      <w:spacing w:line="360" w:lineRule="auto"/>
      <w:jc w:val="both"/>
    </w:pPr>
    <w:rPr>
      <w:rFonts w:eastAsia="Times New Roman" w:cs="Times New Roman"/>
      <w:sz w:val="24"/>
      <w:szCs w:val="24"/>
      <w:lang w:val="en-US"/>
    </w:rPr>
  </w:style>
  <w:style w:type="paragraph" w:styleId="Heading1">
    <w:name w:val="heading 1"/>
    <w:basedOn w:val="Normal"/>
    <w:link w:val="Heading1Char"/>
    <w:uiPriority w:val="9"/>
    <w:qFormat/>
    <w:rsid w:val="00351F39"/>
    <w:pPr>
      <w:numPr>
        <w:numId w:val="1"/>
      </w:numPr>
      <w:spacing w:before="1920"/>
      <w:ind w:left="431" w:hanging="431"/>
      <w:jc w:val="left"/>
      <w:outlineLvl w:val="0"/>
    </w:pPr>
    <w:rPr>
      <w:b/>
      <w:bCs/>
      <w:kern w:val="36"/>
      <w:sz w:val="40"/>
      <w:szCs w:val="48"/>
      <w:lang w:val="en-GB" w:eastAsia="en-GB"/>
    </w:rPr>
  </w:style>
  <w:style w:type="paragraph" w:styleId="Heading2">
    <w:name w:val="heading 2"/>
    <w:basedOn w:val="Normal"/>
    <w:next w:val="Normal"/>
    <w:link w:val="Heading2Char"/>
    <w:uiPriority w:val="9"/>
    <w:unhideWhenUsed/>
    <w:qFormat/>
    <w:rsid w:val="00351F39"/>
    <w:pPr>
      <w:keepNext/>
      <w:keepLines/>
      <w:numPr>
        <w:ilvl w:val="1"/>
        <w:numId w:val="1"/>
      </w:numPr>
      <w:spacing w:before="600"/>
      <w:ind w:left="578" w:hanging="578"/>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351F39"/>
    <w:pPr>
      <w:keepNext/>
      <w:keepLines/>
      <w:numPr>
        <w:ilvl w:val="2"/>
        <w:numId w:val="1"/>
      </w:numPr>
      <w:spacing w:before="600" w:after="80"/>
      <w:outlineLvl w:val="2"/>
    </w:pPr>
    <w:rPr>
      <w:rFonts w:eastAsiaTheme="majorEastAsia" w:cstheme="majorBidi"/>
      <w:b/>
      <w:sz w:val="32"/>
    </w:rPr>
  </w:style>
  <w:style w:type="paragraph" w:styleId="Heading4">
    <w:name w:val="heading 4"/>
    <w:basedOn w:val="Normal"/>
    <w:next w:val="Normal"/>
    <w:link w:val="Heading4Char"/>
    <w:uiPriority w:val="9"/>
    <w:unhideWhenUsed/>
    <w:qFormat/>
    <w:rsid w:val="00351F3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51F3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51F3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51F3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51F3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51F3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F39"/>
    <w:rPr>
      <w:rFonts w:eastAsia="Times New Roman" w:cs="Times New Roman"/>
      <w:b/>
      <w:bCs/>
      <w:kern w:val="36"/>
      <w:sz w:val="40"/>
      <w:szCs w:val="48"/>
      <w:lang w:eastAsia="en-GB"/>
    </w:rPr>
  </w:style>
  <w:style w:type="character" w:customStyle="1" w:styleId="Heading2Char">
    <w:name w:val="Heading 2 Char"/>
    <w:basedOn w:val="DefaultParagraphFont"/>
    <w:link w:val="Heading2"/>
    <w:uiPriority w:val="9"/>
    <w:rsid w:val="00351F39"/>
    <w:rPr>
      <w:rFonts w:eastAsiaTheme="majorEastAsia" w:cstheme="majorBidi"/>
      <w:b/>
      <w:sz w:val="36"/>
      <w:szCs w:val="26"/>
      <w:lang w:val="en-US"/>
    </w:rPr>
  </w:style>
  <w:style w:type="character" w:customStyle="1" w:styleId="Heading3Char">
    <w:name w:val="Heading 3 Char"/>
    <w:basedOn w:val="DefaultParagraphFont"/>
    <w:link w:val="Heading3"/>
    <w:uiPriority w:val="9"/>
    <w:rsid w:val="00351F39"/>
    <w:rPr>
      <w:rFonts w:eastAsiaTheme="majorEastAsia" w:cstheme="majorBidi"/>
      <w:b/>
      <w:sz w:val="32"/>
      <w:szCs w:val="24"/>
      <w:lang w:val="en-US"/>
    </w:rPr>
  </w:style>
  <w:style w:type="character" w:customStyle="1" w:styleId="Heading4Char">
    <w:name w:val="Heading 4 Char"/>
    <w:basedOn w:val="DefaultParagraphFont"/>
    <w:link w:val="Heading4"/>
    <w:uiPriority w:val="9"/>
    <w:rsid w:val="00351F39"/>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semiHidden/>
    <w:rsid w:val="00351F39"/>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uiPriority w:val="9"/>
    <w:semiHidden/>
    <w:rsid w:val="00351F39"/>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351F39"/>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351F39"/>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351F39"/>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39"/>
    <w:rsid w:val="00351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_text"/>
    <w:basedOn w:val="Normal"/>
    <w:link w:val="TabletextChar"/>
    <w:qFormat/>
    <w:rsid w:val="00351F39"/>
    <w:pPr>
      <w:spacing w:after="480" w:line="240" w:lineRule="auto"/>
      <w:contextualSpacing/>
    </w:pPr>
    <w:rPr>
      <w:rFonts w:cstheme="minorHAnsi"/>
      <w:lang w:val="en-GB"/>
    </w:rPr>
  </w:style>
  <w:style w:type="character" w:customStyle="1" w:styleId="TabletextChar">
    <w:name w:val="Table_text Char"/>
    <w:basedOn w:val="DefaultParagraphFont"/>
    <w:link w:val="Tabletext"/>
    <w:rsid w:val="00351F39"/>
    <w:rPr>
      <w:rFonts w:eastAsia="Times New Roman" w:cstheme="minorHAnsi"/>
      <w:sz w:val="24"/>
      <w:szCs w:val="24"/>
    </w:rPr>
  </w:style>
  <w:style w:type="paragraph" w:styleId="Caption">
    <w:name w:val="caption"/>
    <w:aliases w:val="CaptionFigure"/>
    <w:basedOn w:val="Normal"/>
    <w:next w:val="Tabletext"/>
    <w:uiPriority w:val="35"/>
    <w:unhideWhenUsed/>
    <w:qFormat/>
    <w:rsid w:val="00351F39"/>
    <w:pPr>
      <w:spacing w:after="0" w:line="240" w:lineRule="auto"/>
    </w:pPr>
    <w:rPr>
      <w:b/>
      <w:iCs/>
      <w:szCs w:val="18"/>
    </w:rPr>
  </w:style>
  <w:style w:type="character" w:styleId="CommentReference">
    <w:name w:val="annotation reference"/>
    <w:basedOn w:val="DefaultParagraphFont"/>
    <w:uiPriority w:val="99"/>
    <w:unhideWhenUsed/>
    <w:rsid w:val="00351F39"/>
    <w:rPr>
      <w:sz w:val="16"/>
      <w:szCs w:val="16"/>
    </w:rPr>
  </w:style>
  <w:style w:type="paragraph" w:styleId="CommentText">
    <w:name w:val="annotation text"/>
    <w:basedOn w:val="Normal"/>
    <w:link w:val="CommentTextChar"/>
    <w:uiPriority w:val="99"/>
    <w:unhideWhenUsed/>
    <w:rsid w:val="00351F39"/>
    <w:pPr>
      <w:spacing w:line="240" w:lineRule="auto"/>
      <w:jc w:val="left"/>
    </w:pPr>
    <w:rPr>
      <w:rFonts w:eastAsiaTheme="minorHAnsi" w:cstheme="minorBidi"/>
      <w:sz w:val="20"/>
      <w:szCs w:val="20"/>
      <w:lang w:val="da-DK"/>
    </w:rPr>
  </w:style>
  <w:style w:type="character" w:customStyle="1" w:styleId="CommentTextChar">
    <w:name w:val="Comment Text Char"/>
    <w:basedOn w:val="DefaultParagraphFont"/>
    <w:link w:val="CommentText"/>
    <w:uiPriority w:val="99"/>
    <w:rsid w:val="00351F39"/>
    <w:rPr>
      <w:sz w:val="20"/>
      <w:szCs w:val="20"/>
      <w:lang w:val="da-DK"/>
    </w:rPr>
  </w:style>
  <w:style w:type="paragraph" w:styleId="Title">
    <w:name w:val="Title"/>
    <w:basedOn w:val="Normal"/>
    <w:next w:val="Normal"/>
    <w:link w:val="TitleChar"/>
    <w:uiPriority w:val="10"/>
    <w:qFormat/>
    <w:rsid w:val="00351F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F39"/>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351F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124EE-FAF9-424C-8108-BA69CB1EF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18</Pages>
  <Words>18679</Words>
  <Characters>106471</Characters>
  <Application>Microsoft Office Word</Application>
  <DocSecurity>0</DocSecurity>
  <Lines>887</Lines>
  <Paragraphs>249</Paragraphs>
  <ScaleCrop>false</ScaleCrop>
  <Company/>
  <LinksUpToDate>false</LinksUpToDate>
  <CharactersWithSpaces>124901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Kasper Thorhauge Christensen</dc:creator>
  <cp:keywords/>
  <dc:description/>
  <cp:lastModifiedBy>Kasper Thorhauge Christensen</cp:lastModifiedBy>
  <cp:revision>4</cp:revision>
  <dcterms:created xsi:type="dcterms:W3CDTF">2023-05-30T07:20:00Z</dcterms:created>
  <dcterms:modified xsi:type="dcterms:W3CDTF">2023-05-30T07:36:00Z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Mendeley Document_1">
    <vt:lpwstr>True</vt:lpwstr>
  </property>
  <property fmtid="{D5CDD505-2E9C-101B-9397-08002B2CF9AE}" pid="4" name="Mendeley Unique User Id_1">
    <vt:lpwstr>94d2e213-d4a7-3cec-9227-f8c9b387d7d7</vt:lpwstr>
  </property>
  <property fmtid="{D5CDD505-2E9C-101B-9397-08002B2CF9AE}" pid="5" name="Mendeley Citation Style_1">
    <vt:lpwstr>http://www.zotero.org/styles/journal-of-clinical-virology</vt:lpwstr>
  </property>
</Properties>
</file>