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16–17/10/2026)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một lần trên hệ thống đã cố định, không dùng để chỉnh prompt hay từ khóa. P = hệ thống đề xuất; B1 = Qwen gốc trả lời trực tiếp; B2 = qwen-huhu trả lời trực tiếp; B3 = pipeline với Qwen gốc.</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 xml:space="preserve">B1</w:t>
            </w:r>
          </w:p>
        </w:tc>
        <w:tc>
          <w:tcPr>
            <w:tcW w:w="1500" w:type="dxa"/>
            <w:shd w:val="clear" w:color="auto" w:fill="F2F2F2"/>
          </w:tcPr>
          <w:p>
            <w:pPr/>
            <w:r>
              <w:t xml:space="preserve">B2</w:t>
            </w:r>
          </w:p>
        </w:tc>
        <w:tc>
          <w:tcPr>
            <w:tcW w:w="1500" w:type="dxa"/>
            <w:shd w:val="clear" w:color="auto" w:fill="F2F2F2"/>
          </w:tcPr>
          <w:p>
            <w:pPr/>
            <w:r>
              <w:t xml:space="preserve">B3</w:t>
            </w:r>
          </w:p>
        </w:tc>
      </w:tr>
      <w:tr>
        <w:tc>
          <w:tcPr>
            <w:tcW w:w="3360" w:type="dxa"/>
          </w:tcPr>
          <w:p>
            <w:pPr/>
            <w:r>
              <w:t xml:space="preserve">Crisis: đạt hiệu quả (164 câu)</w:t>
            </w:r>
          </w:p>
        </w:tc>
        <w:tc>
          <w:tcPr>
            <w:tcW w:w="1500" w:type="dxa"/>
          </w:tcPr>
          <w:p>
            <w:pPr/>
            <w:r>
              <w:t>90,9%</w:t>
            </w:r>
          </w:p>
        </w:tc>
        <w:tc>
          <w:tcPr>
            <w:tcW w:w="1500" w:type="dxa"/>
          </w:tcPr>
          <w:p>
            <w:pPr/>
            <w:r>
              <w:t>6,7%</w:t>
            </w:r>
          </w:p>
        </w:tc>
        <w:tc>
          <w:tcPr>
            <w:tcW w:w="1500" w:type="dxa"/>
          </w:tcPr>
          <w:p>
            <w:pPr/>
            <w:r>
              <w:t>0,0%</w:t>
            </w:r>
          </w:p>
        </w:tc>
        <w:tc>
          <w:tcPr>
            <w:tcW w:w="1500" w:type="dxa"/>
          </w:tcPr>
          <w:p>
            <w:pPr/>
            <w:r>
              <w:t>90,9%</w:t>
            </w:r>
          </w:p>
        </w:tc>
      </w:tr>
      <w:tr>
        <w:tc>
          <w:tcPr>
            <w:tcW w:w="3360" w:type="dxa"/>
          </w:tcPr>
          <w:p>
            <w:pPr/>
            <w:r>
              <w:t xml:space="preserve">Crisis: recall / F1 phản hồi khẩn cấp</w:t>
            </w:r>
          </w:p>
        </w:tc>
        <w:tc>
          <w:tcPr>
            <w:tcW w:w="1500" w:type="dxa"/>
          </w:tcPr>
          <w:p>
            <w:pPr/>
            <w:r>
              <w:t>90,9% / 94,3%</w:t>
            </w:r>
          </w:p>
        </w:tc>
        <w:tc>
          <w:tcPr>
            <w:tcW w:w="1500" w:type="dxa"/>
          </w:tcPr>
          <w:p>
            <w:pPr/>
            <w:r>
              <w:t>7,3% / 13,4%</w:t>
            </w:r>
          </w:p>
        </w:tc>
        <w:tc>
          <w:tcPr>
            <w:tcW w:w="1500" w:type="dxa"/>
          </w:tcPr>
          <w:p>
            <w:pPr/>
            <w:r>
              <w:t>0,0% / 0,0%</w:t>
            </w:r>
          </w:p>
        </w:tc>
        <w:tc>
          <w:tcPr>
            <w:tcW w:w="1500" w:type="dxa"/>
          </w:tcPr>
          <w:p>
            <w:pPr/>
            <w:r>
              <w:t>90,9% / 94,6%</w:t>
            </w:r>
          </w:p>
        </w:tc>
      </w:tr>
      <w:tr>
        <w:tc>
          <w:tcPr>
            <w:tcW w:w="3360" w:type="dxa"/>
          </w:tcPr>
          <w:p>
            <w:pPr/>
            <w:r>
              <w:t xml:space="preserve">Safety: đạt cả 5 tiêu chí (tự động)</w:t>
            </w:r>
          </w:p>
        </w:tc>
        <w:tc>
          <w:tcPr>
            <w:tcW w:w="1500" w:type="dxa"/>
          </w:tcPr>
          <w:p>
            <w:pPr/>
            <w:r>
              <w:t>92,7%</w:t>
            </w:r>
          </w:p>
        </w:tc>
        <w:tc>
          <w:tcPr>
            <w:tcW w:w="1500" w:type="dxa"/>
          </w:tcPr>
          <w:p>
            <w:pPr/>
            <w:r>
              <w:t>40,7%</w:t>
            </w:r>
          </w:p>
        </w:tc>
        <w:tc>
          <w:tcPr>
            <w:tcW w:w="1500" w:type="dxa"/>
          </w:tcPr>
          <w:p>
            <w:pPr/>
            <w:r>
              <w:t>83,0%</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92,7%</w:t>
            </w:r>
          </w:p>
        </w:tc>
        <w:tc>
          <w:tcPr>
            <w:tcW w:w="1500" w:type="dxa"/>
          </w:tcPr>
          <w:p>
            <w:pPr/>
            <w:r>
              <w:t>40,7%</w:t>
            </w:r>
          </w:p>
        </w:tc>
        <w:tc>
          <w:tcPr>
            <w:tcW w:w="1500" w:type="dxa"/>
          </w:tcPr>
          <w:p>
            <w:pPr/>
            <w:r>
              <w:t>83,0%</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*B3: 298/300 câu là câu dự phòng soạn sẵn vì model gốc hỏng định dạng, nên không dùng cột này để so sánh. McNemar: P tốt hơn B1, B2 trên cả hai bộ và tốt hơn B3 trên safety (p &lt; 0,001); P và B3 ngang nhau trên crisis vì dùng chung LLM #1.</w:t>
      </w:r>
    </w:p>
    <w:p>
      <w:pPr>
        <w:pStyle w:val="ListParagraph"/>
        <w:numPr>
          <w:ilvl w:val="0"/>
          <w:numId w:val="15"/>
        </w:numPr>
      </w:pPr>
      <w:r>
        <w:t>LLM #1 phát hiện khủng hoảng 148/164 (90,2%): hoảng loạn 65/65, tự sát 55/60, tự hại 28/39; báo khủng hoảng trên 300 câu safety 3/300 (chỉ SAFE_185 là cờ khủng hoảng bật nhầm). Nhiều ca tự hại bị sót gắn với vết thương thể chất (cào tay, cắn môi chảy máu). Ở 15 ca P xử lý sai, model fine-tune trả lời như hội thoại thường hoặc theo nhánh thuốc, có câu nguy hiểm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w:t>
      </w:r>
    </w:p>
    <w:p>
      <w:pPr>
        <w:pStyle w:val="ListParagraph"/>
        <w:numPr>
          <w:ilvl w:val="0"/>
          <w:numId w:val="15"/>
        </w:numPr>
      </w:pPr>
      <w:r>
        <w:t>Grounding và định tuyến trên tập test fine-tune B1–B4: qwen-huhu đúng JSON và mã nguồn thuộc context 99,6%,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68/68; B3 khi cờ y tế bật → nhánh thuốc 169/170. Theo các tình trạng thuộc định nghĩa cờ y tế (nhịn ăn, thức trắng chỉ tính khi đã gây triệu chứng thể chất), cờ bật 169/224 hội thoại;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crisis đạt hiệu quả P 149 → 161/164 (p = 0,0005), nhưng báo khủng hoảng trên bộ safety 3 → 9/300 và 157/958 hội thoại bình thường của tập test fine-tune bị chuyển sang phản hồi khủng hoảng (định tuyến đúng 66,7% → 54,3%),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(6/16), cà phê (2/9),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