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20/10/2026, cả hai notebook (crisis, truy xuất, safety, 3 baseline; grounding và định tuyến nhiều lượt) trên Kaggle GPU T4 ×2. Mọi số liệu trong báo cáo lấy từ thư mục eval_result_final; các bảng chính được notebook in trực tiếp và tính lại từ file kết quả bằng scripts/build_final_report.py.</w:t>
      </w:r>
    </w:p>
    <w:p>
      <w:pPr>
        <w:pStyle w:val="Heading2"/>
      </w:pPr>
      <w:r>
        <w:t>Lần chạy cuối và các quyết định chấm</w:t>
      </w:r>
    </w:p>
    <w:p>
      <w:pPr>
        <w:pStyle w:val="ListBullet"/>
      </w:pPr>
      <w:r>
        <w:t>Hệ thống của lần chạy cuối giống hệt lần chạy 16–17/10 (cùng code, prompt, dữ liệu, model, digest Ollama). Lần chạy cuối được thực hiện để notebook in trực tiếp các bảng theo cách chấm của nhóm; nhóm chốt trước khi chạy rằng đây là số chính thức. LLM #1 chạy temperature 0 nên kết quả phát hiện khủng hoảng và truy xuất trùng lần trước; các chỉ số phụ thuộc câu trả lời của LLM #2 (temperature 0,3) xê dịch nhẹ (ví dụ safety của P: 278/300 lần trước, 286/300 lần cuối). Kết quả lần trước lưu ở eval_result_afterChangePrompt.</w:t>
      </w:r>
    </w:p>
    <w:p>
      <w:pPr>
        <w:pStyle w:val="ListBullet"/>
      </w:pPr>
      <w:r>
        <w:t>Một số cách chấm được nhóm chốt sau khi đã xem kết quả 16–17/10: truy xuất chấm theo 4 state hệ thống nhận vào (không tính câu chỉ có nhãn digestion hoặc impulsivity_control); định tuyến nhiều lượt chỉ chấm khi thông tin đã có trong hội thoại (bỏ các chỉ số so với nhãn tập test fine-tune); nhịn ăn và thức trắng chỉ tính là cờ y tế khi người dùng kể triệu chứng thể chất. Lý do ghi ở từng mục.</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(66/66 file của gói lần chạy cuối).</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theo 4 state (253 câu)</w:t>
            </w:r>
          </w:p>
        </w:tc>
        <w:tc>
          <w:tcPr>
            <w:tcW w:type="dxa" w:w="2948"/>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474"/>
          </w:tcPr>
          <w:p>
            <w:pPr>
              <w:spacing w:after="0"/>
            </w:pPr>
            <w:r>
              <w:rPr>
                <w:sz w:val="19"/>
              </w:rPr>
            </w:r>
            <w:r>
              <w:rPr>
                <w:sz w:val="19"/>
              </w:rPr>
            </w:r>
          </w:p>
        </w:tc>
        <w:tc>
          <w:tcPr>
            <w:tcW w:type="dxa" w:w="2948"/>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Nhóm dữ liệu B2: đủ 4 state và không có cờ y tế → truy xuất PostgreSQL</w:t>
            </w:r>
          </w:p>
        </w:tc>
        <w:tc>
          <w:tcPr>
            <w:tcW w:type="dxa" w:w="1361"/>
          </w:tcPr>
          <w:p>
            <w:pPr>
              <w:spacing w:after="0"/>
            </w:pPr>
            <w:r>
              <w:rPr>
                <w:sz w:val="19"/>
              </w:rPr>
            </w:r>
            <w:r>
              <w:rPr>
                <w:sz w:val="19"/>
              </w:rPr>
              <w:t>72/72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64/64</w:t>
            </w:r>
          </w:p>
        </w:tc>
      </w:tr>
      <w:tr>
        <w:tc>
          <w:tcPr>
            <w:tcW w:type="dxa" w:w="1474"/>
          </w:tcPr>
          <w:p>
            <w:pPr>
              <w:spacing w:after="0"/>
            </w:pPr>
            <w:r>
              <w:rPr>
                <w:sz w:val="19"/>
              </w:rPr>
            </w:r>
            <w:r>
              <w:rPr>
                <w:sz w:val="19"/>
              </w:rPr>
            </w:r>
          </w:p>
        </w:tc>
        <w:tc>
          <w:tcPr>
            <w:tcW w:type="dxa" w:w="2948"/>
          </w:tcPr>
          <w:p>
            <w:pPr>
              <w:spacing w:after="0"/>
            </w:pPr>
            <w:r>
              <w:rPr>
                <w:sz w:val="19"/>
              </w:rPr>
            </w:r>
            <w:r>
              <w:rPr>
                <w:sz w:val="19"/>
              </w:rPr>
              <w:t>Nhóm dữ liệu B3: cờ y tế bật → nhánh thuốc</w:t>
            </w:r>
          </w:p>
        </w:tc>
        <w:tc>
          <w:tcPr>
            <w:tcW w:type="dxa" w:w="1361"/>
          </w:tcPr>
          <w:p>
            <w:pPr>
              <w:spacing w:after="0"/>
            </w:pPr>
            <w:r>
              <w:rPr>
                <w:sz w:val="19"/>
              </w:rPr>
            </w:r>
            <w:r>
              <w:rPr>
                <w:sz w:val="19"/>
              </w:rPr>
              <w:t>169/171</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168/169</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 Truy xuất chạy ở LLM #1 và state_effect_map, trước khi gọi model trả lời; Pipeline + Qwen2.5-7B gốc dùng chung các thành phần này nên kết quả như P, không đo riêng. Hai baseline trả lời trực tiếp không có LLM #1, truy xuất hay định tuyến nên các ô này không áp dụng.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4.6),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2" name="Picture 2"/>
            <wp:cNvGraphicFramePr>
              <a:graphicFrameLocks noChangeAspect="1"/>
            </wp:cNvGraphicFramePr>
            <a:graphic>
              <a:graphicData uri="http://schemas.openxmlformats.org/drawingml/2006/picture">
                <pic:pic>
                  <pic:nvPicPr>
                    <pic:cNvPr id="0" name="loss.png"/>
                    <pic:cNvPicPr/>
                  </pic:nvPicPr>
                  <pic:blipFill>
                    <a:blip r:embed="rId10"/>
                    <a:stretch>
                      <a:fillRect/>
                    </a:stretch>
                  </pic:blipFill>
                  <pic:spPr>
                    <a:xfrm>
                      <a:off x="0" y="0"/>
                      <a:ext cx="5760000" cy="2858862"/>
                    </a:xfrm>
                    <a:prstGeom prst="rect"/>
                  </pic:spPr>
                </pic:pic>
              </a:graphicData>
            </a:graphic>
          </wp:inline>
        </w:drawing>
      </w:r>
    </w:p>
    <w:p>
      <w:pPr>
        <w:jc w:val="center"/>
      </w:pPr>
      <w:r>
        <w:rPr>
          <w:b/>
          <w:sz w:val="20"/>
        </w:rPr>
        <w:t xml:space="preserve">Hình 2. </w:t>
      </w:r>
      <w:r>
        <w:rPr>
          <w:i/>
          <w:sz w:val="20"/>
        </w:rPr>
        <w:t>Train loss và validation loss (toàn bộ tập validation) theo bước huấn luyện; checkpoint dùng là bước có val loss thấp nhất.</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3" name="Picture 3"/>
            <wp:cNvGraphicFramePr>
              <a:graphicFrameLocks noChangeAspect="1"/>
            </wp:cNvGraphicFramePr>
            <a:graphic>
              <a:graphicData uri="http://schemas.openxmlformats.org/drawingml/2006/picture">
                <pic:pic>
                  <pic:nvPicPr>
                    <pic:cNvPr id="0" name="perplexity.png"/>
                    <pic:cNvPicPr/>
                  </pic:nvPicPr>
                  <pic:blipFill>
                    <a:blip r:embed="rId11"/>
                    <a:stretch>
                      <a:fillRect/>
                    </a:stretch>
                  </pic:blipFill>
                  <pic:spPr>
                    <a:xfrm>
                      <a:off x="0" y="0"/>
                      <a:ext cx="5760000" cy="2557059"/>
                    </a:xfrm>
                    <a:prstGeom prst="rect"/>
                  </pic:spPr>
                </pic:pic>
              </a:graphicData>
            </a:graphic>
          </wp:inline>
        </w:drawing>
      </w:r>
    </w:p>
    <w:p>
      <w:pPr>
        <w:jc w:val="center"/>
      </w:pPr>
      <w:r>
        <w:rPr>
          <w:b/>
          <w:sz w:val="20"/>
        </w:rPr>
        <w:t xml:space="preserve">Hình 3. </w:t>
      </w:r>
      <w:r>
        <w:rPr>
          <w:i/>
          <w:sz w:val="20"/>
        </w:rPr>
        <w:t>Perplexity của model gốc và model fine-tune theo nhóm tập test fine-tune.</w:t>
      </w:r>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40/240 (16,7%)</w:t>
            </w:r>
          </w:p>
        </w:tc>
        <w:tc>
          <w:tcPr>
            <w:tcW w:type="dxa" w:w="1083"/>
          </w:tcPr>
          <w:p>
            <w:pPr>
              <w:spacing w:after="0"/>
            </w:pPr>
            <w:r>
              <w:rPr>
                <w:sz w:val="19"/>
              </w:rPr>
            </w:r>
            <w:r>
              <w:rPr>
                <w:sz w:val="19"/>
              </w:rPr>
              <w:t>125/240 (52,1%)</w:t>
            </w:r>
          </w:p>
        </w:tc>
        <w:tc>
          <w:tcPr>
            <w:tcW w:type="dxa" w:w="1083"/>
          </w:tcPr>
          <w:p>
            <w:pPr>
              <w:spacing w:after="0"/>
            </w:pPr>
            <w:r>
              <w:rPr>
                <w:sz w:val="19"/>
              </w:rPr>
            </w:r>
            <w:r>
              <w:rPr>
                <w:sz w:val="19"/>
              </w:rPr>
              <w:t>37/240 (15,4%)</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4" name="Picture 4"/>
            <wp:cNvGraphicFramePr>
              <a:graphicFrameLocks noChangeAspect="1"/>
            </wp:cNvGraphicFramePr>
            <a:graphic>
              <a:graphicData uri="http://schemas.openxmlformats.org/drawingml/2006/picture">
                <pic:pic>
                  <pic:nvPicPr>
                    <pic:cNvPr id="0" name="crisis_detect.png"/>
                    <pic:cNvPicPr/>
                  </pic:nvPicPr>
                  <pic:blipFill>
                    <a:blip r:embed="rId12"/>
                    <a:stretch>
                      <a:fillRect/>
                    </a:stretch>
                  </pic:blipFill>
                  <pic:spPr>
                    <a:xfrm>
                      <a:off x="0" y="0"/>
                      <a:ext cx="5760000" cy="2275973"/>
                    </a:xfrm>
                    <a:prstGeom prst="rect"/>
                  </pic:spPr>
                </pic:pic>
              </a:graphicData>
            </a:graphic>
          </wp:inline>
        </w:drawing>
      </w:r>
    </w:p>
    <w:p>
      <w:pPr>
        <w:jc w:val="center"/>
      </w:pPr>
      <w:r>
        <w:rPr>
          <w:b/>
          <w:sz w:val="20"/>
        </w:rPr>
        <w:t xml:space="preserve">Hình 4.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4.6.</w:t>
      </w:r>
    </w:p>
    <w:p>
      <w:pPr>
        <w:pStyle w:val="Heading2"/>
      </w:pPr>
      <w:r>
        <w:t>4.2 Truy xuất theo 4 state (253 câu, qua PostgreSQL)</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mood_state=Recovering (1), sleep_state=Good (1); còn lại là không trích được state.</w:t>
      </w:r>
    </w:p>
    <w:p>
      <w:pPr>
        <w:pStyle w:val="ListBullet"/>
      </w:pPr>
      <w:r>
        <w:t>State hay bị bỏ sót nhất: ăn uống (9/61 câu không trích được); tâm trạng (7/74 câu không trích được).</w:t>
      </w:r>
    </w:p>
    <w:p>
      <w:pPr>
        <w:pStyle w:val="Heading2"/>
      </w:pPr>
      <w:r>
        <w:t>4.3 Ranh giới an toàn (300 câu bẫy)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6" name="Picture 6"/>
            <wp:cNvGraphicFramePr>
              <a:graphicFrameLocks noChangeAspect="1"/>
            </wp:cNvGraphicFramePr>
            <a:graphic>
              <a:graphicData uri="http://schemas.openxmlformats.org/drawingml/2006/picture">
                <pic:pic>
                  <pic:nvPicPr>
                    <pic:cNvPr id="0" name="safety_trap.png"/>
                    <pic:cNvPicPr/>
                  </pic:nvPicPr>
                  <pic:blipFill>
                    <a:blip r:embed="rId14"/>
                    <a:stretch>
                      <a:fillRect/>
                    </a:stretch>
                  </pic:blipFill>
                  <pic:spPr>
                    <a:xfrm>
                      <a:off x="0" y="0"/>
                      <a:ext cx="5760000" cy="3441099"/>
                    </a:xfrm>
                    <a:prstGeom prst="rect"/>
                  </pic:spPr>
                </pic:pic>
              </a:graphicData>
            </a:graphic>
          </wp:inline>
        </w:drawing>
      </w:r>
    </w:p>
    <w:p>
      <w:pPr>
        <w:jc w:val="center"/>
      </w:pPr>
      <w:r>
        <w:rPr>
          <w:b/>
          <w:sz w:val="20"/>
        </w:rPr>
        <w:t xml:space="preserve">Hình 6.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4.6).</w:t>
      </w:r>
    </w:p>
    <w:p>
      <w:pPr>
        <w:pStyle w:val="ListBullet"/>
      </w:pPr>
      <w:r>
        <w:t>Phân tích chấm tay các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4.5 Grounding nhánh dinh dưỡng và định tuyến qua nhiều lượt (tập test fine-tune B1–B4)</w:t>
      </w:r>
    </w:p>
    <w:p>
      <w:pPr>
        <w:pStyle w:val="ListBullet"/>
      </w:pPr>
      <w:r>
        <w:t>Grounding toàn hệ thống (94 lượt vào nhánh dinh dưỡng, context lấy từ PostgreSQL): lần sinh đầu qua tầng 1 81/94 (86,2%); mã nguồn thuộc context 89/94 (94,7%); tên món ngoài context 0; câu dự phòng 0; grounded (gồm hai cột giám khảo) 9/94 (9,6%).</w:t>
      </w:r>
    </w:p>
    <w:p>
      <w:pPr>
        <w:pStyle w:val="Heading3"/>
      </w:pPr>
      <w:r>
        <w:t>Định tuyến khi đã có thông tin</w:t>
      </w:r>
    </w:p>
    <w:p>
      <w:r>
        <w:rPr>
          <w:i/>
          <w:color w:val="404040"/>
          <w:sz w:val="19"/>
        </w:rPr>
        <w:t>Nhãn nhánh của tập test fine-tune được gắn theo kịch bản sinh dữ liệu, kể cả khi lời người dùng không nói ra thông tin đó, nên định tuyến chỉ được chấm khi thông tin cần cho nhánh đã có trong hội thoại.</w:t>
      </w:r>
    </w:p>
    <w:p>
      <w:pPr>
        <w:pStyle w:val="ListBullet"/>
      </w:pPr>
      <w:r>
        <w:t>Nhóm dữ liệu B2 (tiêu chí của nhóm: đủ 4 state thì truy xuất database là đạt): 76 hội thoại đủ 4 state ở lượt cuối; 72 vào nhánh dinh dưỡng và 72 có context lấy từ PostgreSQL; 4 vào nhánh thuốc vì cờ y tế ưu tiên. Các hội thoại thiếu state: ask_states 155, medication 9.</w:t>
      </w:r>
    </w:p>
    <w:p>
      <w:pPr>
        <w:pStyle w:val="ListBullet"/>
      </w:pPr>
      <w:r>
        <w:t>Nhóm dữ liệu B3: khi cờ y tế bật ở lượt cuối, hệ thống vào nhánh thuốc 169/171 lần (các lần còn lại vào nhánh hoảng loạn, đúng thứ tự ưu tiên).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35"/>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 P</w:t>
            </w:r>
          </w:p>
        </w:tc>
        <w:tc>
          <w:tcPr>
            <w:tcW w:type="dxa" w:w="2154"/>
            <w:shd w:val="clear" w:color="auto" w:fill="D9E2F3"/>
          </w:tcPr>
          <w:p>
            <w:pPr>
              <w:spacing w:after="0"/>
            </w:pPr>
            <w:r>
              <w:rPr>
                <w:sz w:val="19"/>
              </w:rPr>
            </w:r>
            <w:r>
              <w:rPr>
                <w:b/>
                <w:sz w:val="19"/>
              </w:rPr>
              <w:t>Pipeline + Qwen2.5-7B gốc</w:t>
            </w:r>
          </w:p>
        </w:tc>
      </w:tr>
      <w:tr>
        <w:tc>
          <w:tcPr>
            <w:tcW w:type="dxa" w:w="4535"/>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2154"/>
          </w:tcPr>
          <w:p>
            <w:pPr>
              <w:spacing w:after="0"/>
            </w:pPr>
            <w:r>
              <w:rPr>
                <w:sz w:val="19"/>
              </w:rPr>
            </w:r>
            <w:r>
              <w:rPr>
                <w:sz w:val="19"/>
              </w:rPr>
              <w:t>46</w:t>
            </w:r>
          </w:p>
        </w:tc>
      </w:tr>
      <w:tr>
        <w:tc>
          <w:tcPr>
            <w:tcW w:type="dxa" w:w="4535"/>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21</w:t>
            </w:r>
          </w:p>
        </w:tc>
        <w:tc>
          <w:tcPr>
            <w:tcW w:type="dxa" w:w="2154"/>
          </w:tcPr>
          <w:p>
            <w:pPr>
              <w:spacing w:after="0"/>
            </w:pPr>
            <w:r>
              <w:rPr>
                <w:sz w:val="19"/>
              </w:rPr>
            </w:r>
            <w:r>
              <w:rPr>
                <w:sz w:val="19"/>
              </w:rPr>
              <w:t>21</w:t>
            </w:r>
          </w:p>
        </w:tc>
      </w:tr>
      <w:tr>
        <w:tc>
          <w:tcPr>
            <w:tcW w:type="dxa" w:w="4535"/>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2154"/>
          </w:tcPr>
          <w:p>
            <w:pPr>
              <w:spacing w:after="0"/>
            </w:pPr>
            <w:r>
              <w:rPr>
                <w:sz w:val="19"/>
              </w:rPr>
            </w:r>
            <w:r>
              <w:rPr>
                <w:sz w:val="19"/>
              </w:rPr>
              <w:t>35</w:t>
            </w:r>
          </w:p>
        </w:tc>
      </w:tr>
      <w:tr>
        <w:tc>
          <w:tcPr>
            <w:tcW w:type="dxa" w:w="4535"/>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2154"/>
          </w:tcPr>
          <w:p>
            <w:pPr>
              <w:spacing w:after="0"/>
            </w:pPr>
            <w:r>
              <w:rPr>
                <w:sz w:val="19"/>
              </w:rPr>
            </w:r>
            <w:r>
              <w:rPr>
                <w:sz w:val="19"/>
              </w:rPr>
              <w:t>19</w:t>
            </w:r>
          </w:p>
        </w:tc>
      </w:tr>
      <w:tr>
        <w:tc>
          <w:tcPr>
            <w:tcW w:type="dxa" w:w="4535"/>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13</w:t>
            </w:r>
          </w:p>
        </w:tc>
        <w:tc>
          <w:tcPr>
            <w:tcW w:type="dxa" w:w="2154"/>
          </w:tcPr>
          <w:p>
            <w:pPr>
              <w:spacing w:after="0"/>
            </w:pPr>
            <w:r>
              <w:rPr>
                <w:sz w:val="19"/>
              </w:rPr>
            </w:r>
            <w:r>
              <w:rPr>
                <w:sz w:val="19"/>
              </w:rPr>
              <w:t>15</w:t>
            </w:r>
          </w:p>
        </w:tc>
      </w:tr>
      <w:tr>
        <w:tc>
          <w:tcPr>
            <w:tcW w:type="dxa" w:w="4535"/>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2154"/>
          </w:tcPr>
          <w:p>
            <w:pPr>
              <w:spacing w:after="0"/>
            </w:pPr>
            <w:r>
              <w:rPr>
                <w:sz w:val="19"/>
              </w:rPr>
            </w:r>
            <w:r>
              <w:rPr>
                <w:sz w:val="19"/>
              </w:rPr>
              <w:t>4</w:t>
            </w:r>
          </w:p>
        </w:tc>
      </w:tr>
      <w:tr>
        <w:tc>
          <w:tcPr>
            <w:tcW w:type="dxa" w:w="4535"/>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7</w:t>
            </w:r>
          </w:p>
        </w:tc>
        <w:tc>
          <w:tcPr>
            <w:tcW w:type="dxa" w:w="2154"/>
          </w:tcPr>
          <w:p>
            <w:pPr>
              <w:spacing w:after="0"/>
            </w:pPr>
            <w:r>
              <w:rPr>
                <w:sz w:val="19"/>
              </w:rPr>
            </w:r>
            <w:r>
              <w:rPr>
                <w:sz w:val="19"/>
              </w:rPr>
              <w:t>6</w:t>
            </w:r>
          </w:p>
        </w:tc>
      </w:tr>
      <w:tr>
        <w:tc>
          <w:tcPr>
            <w:tcW w:type="dxa" w:w="4535"/>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3</w:t>
            </w:r>
          </w:p>
        </w:tc>
        <w:tc>
          <w:tcPr>
            <w:tcW w:type="dxa" w:w="2154"/>
          </w:tcPr>
          <w:p>
            <w:pPr>
              <w:spacing w:after="0"/>
            </w:pPr>
            <w:r>
              <w:rPr>
                <w:sz w:val="19"/>
              </w:rPr>
            </w:r>
            <w:r>
              <w:rPr>
                <w:sz w:val="19"/>
              </w:rPr>
              <w:t>2</w:t>
            </w:r>
          </w:p>
        </w:tc>
      </w:tr>
      <w:tr>
        <w:tc>
          <w:tcPr>
            <w:tcW w:type="dxa" w:w="4535"/>
          </w:tcPr>
          <w:p>
            <w:pPr>
              <w:spacing w:after="0"/>
            </w:pPr>
            <w:r>
              <w:rPr>
                <w:sz w:val="19"/>
              </w:rPr>
            </w:r>
            <w:r>
              <w:rPr>
                <w:sz w:val="19"/>
              </w:rPr>
              <w:t>Nhịn ăn, bỏ bữa kèm triệu chứng thể chất</w:t>
            </w:r>
          </w:p>
        </w:tc>
        <w:tc>
          <w:tcPr>
            <w:tcW w:type="dxa" w:w="907"/>
          </w:tcPr>
          <w:p>
            <w:pPr>
              <w:spacing w:after="0"/>
            </w:pPr>
            <w:r>
              <w:rPr>
                <w:sz w:val="19"/>
              </w:rPr>
            </w:r>
            <w:r>
              <w:rPr>
                <w:sz w:val="19"/>
              </w:rPr>
              <w:t>13</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Thức trắng kèm triệu chứng thể chất</w:t>
            </w:r>
          </w:p>
        </w:tc>
        <w:tc>
          <w:tcPr>
            <w:tcW w:type="dxa" w:w="907"/>
          </w:tcPr>
          <w:p>
            <w:pPr>
              <w:spacing w:after="0"/>
            </w:pPr>
            <w:r>
              <w:rPr>
                <w:sz w:val="19"/>
              </w:rPr>
            </w:r>
            <w:r>
              <w:rPr>
                <w:sz w:val="19"/>
              </w:rPr>
              <w:t>10</w:t>
            </w:r>
          </w:p>
        </w:tc>
        <w:tc>
          <w:tcPr>
            <w:tcW w:type="dxa" w:w="2041"/>
          </w:tcPr>
          <w:p>
            <w:pPr>
              <w:spacing w:after="0"/>
            </w:pPr>
            <w:r>
              <w:rPr>
                <w:sz w:val="19"/>
              </w:rPr>
            </w:r>
            <w:r>
              <w:rPr>
                <w:sz w:val="19"/>
              </w:rPr>
              <w:t>0</w:t>
            </w:r>
          </w:p>
        </w:tc>
        <w:tc>
          <w:tcPr>
            <w:tcW w:type="dxa" w:w="2154"/>
          </w:tcPr>
          <w:p>
            <w:pPr>
              <w:spacing w:after="0"/>
            </w:pPr>
            <w:r>
              <w:rPr>
                <w:sz w:val="19"/>
              </w:rPr>
            </w:r>
            <w:r>
              <w:rPr>
                <w:sz w:val="19"/>
              </w:rPr>
              <w:t>0</w:t>
            </w:r>
          </w:p>
        </w:tc>
      </w:tr>
      <w:tr>
        <w:tc>
          <w:tcPr>
            <w:tcW w:type="dxa" w:w="4535"/>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13</w:t>
            </w:r>
          </w:p>
        </w:tc>
        <w:tc>
          <w:tcPr>
            <w:tcW w:type="dxa" w:w="2154"/>
          </w:tcPr>
          <w:p>
            <w:pPr>
              <w:spacing w:after="0"/>
            </w:pPr>
            <w:r>
              <w:rPr>
                <w:sz w:val="19"/>
              </w:rPr>
            </w:r>
            <w:r>
              <w:rPr>
                <w:sz w:val="19"/>
              </w:rPr>
              <w:t>14</w:t>
            </w:r>
          </w:p>
        </w:tc>
      </w:tr>
      <w:tr>
        <w:tc>
          <w:tcPr>
            <w:tcW w:type="dxa" w:w="4535"/>
          </w:tcPr>
          <w:p>
            <w:pPr>
              <w:spacing w:after="0"/>
            </w:pPr>
            <w:r>
              <w:rPr>
                <w:sz w:val="19"/>
              </w:rPr>
            </w:r>
            <w:r>
              <w:rPr>
                <w:sz w:val="19"/>
              </w:rPr>
              <w:t>Tổng</w:t>
            </w:r>
          </w:p>
        </w:tc>
        <w:tc>
          <w:tcPr>
            <w:tcW w:type="dxa" w:w="907"/>
          </w:tcPr>
          <w:p>
            <w:pPr>
              <w:spacing w:after="0"/>
            </w:pPr>
            <w:r>
              <w:rPr>
                <w:sz w:val="19"/>
              </w:rPr>
            </w:r>
            <w:r>
              <w:rPr>
                <w:sz w:val="19"/>
              </w:rPr>
              <w:t>224</w:t>
            </w:r>
          </w:p>
        </w:tc>
        <w:tc>
          <w:tcPr>
            <w:tcW w:type="dxa" w:w="2041"/>
          </w:tcPr>
          <w:p>
            <w:pPr>
              <w:spacing w:after="0"/>
            </w:pPr>
            <w:r>
              <w:rPr>
                <w:sz w:val="19"/>
              </w:rPr>
            </w:r>
            <w:r>
              <w:rPr>
                <w:sz w:val="19"/>
              </w:rPr>
              <w:t>168</w:t>
            </w:r>
          </w:p>
        </w:tc>
        <w:tc>
          <w:tcPr>
            <w:tcW w:type="dxa" w:w="2154"/>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7" name="Picture 7"/>
            <wp:cNvGraphicFramePr>
              <a:graphicFrameLocks noChangeAspect="1"/>
            </wp:cNvGraphicFramePr>
            <a:graphic>
              <a:graphicData uri="http://schemas.openxmlformats.org/drawingml/2006/picture">
                <pic:pic>
                  <pic:nvPicPr>
                    <pic:cNvPr id="0" name="b3_groups.png"/>
                    <pic:cNvPicPr/>
                  </pic:nvPicPr>
                  <pic:blipFill>
                    <a:blip r:embed="rId15"/>
                    <a:stretch>
                      <a:fillRect/>
                    </a:stretch>
                  </pic:blipFill>
                  <pic:spPr>
                    <a:xfrm>
                      <a:off x="0" y="0"/>
                      <a:ext cx="5760000" cy="2519757"/>
                    </a:xfrm>
                    <a:prstGeom prst="rect"/>
                  </pic:spPr>
                </pic:pic>
              </a:graphicData>
            </a:graphic>
          </wp:inline>
        </w:drawing>
      </w:r>
    </w:p>
    <w:p>
      <w:pPr>
        <w:jc w:val="center"/>
      </w:pPr>
      <w:r>
        <w:rPr>
          <w:b/>
          <w:sz w:val="20"/>
        </w:rPr>
        <w:t xml:space="preserve">Hình 7. </w:t>
      </w:r>
      <w:r>
        <w:rPr>
          <w:i/>
          <w:sz w:val="20"/>
        </w:rPr>
        <w:t>Hội thoại nhóm B3 theo tình trạng người dùng kể (chỉ các tình trạng thuộc định nghĩa cờ y tế): số hội thoại cờ y tế bật và vào nhánh thuốc.</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Heading3"/>
      </w:pPr>
      <w:r>
        <w:t>Baseline Pipeline + Qwen2.5-7B gốc</w:t>
      </w:r>
    </w:p>
    <w:p>
      <w:r>
        <w:rPr>
          <w:i/>
          <w:color w:val="404040"/>
          <w:sz w:val="19"/>
        </w:rPr>
        <w:t>Cùng pipeline, chỉ đổi model trả lời; chạy trên Kaggle 21/10 với cùng dữ liệu và cách chấm (serving/eval_routing_baseline_kaggle.ipynb). Ở mỗi lượt, LLM #1 đọc cả hội thoại, gồm câu bot đã trả lời; model gốc trả câu dự phòng ở 647/651 lượt, nên từ lượt 2 LLM #1 đọc một hội thoại khác với P.</w:t>
      </w:r>
    </w:p>
    <w:tbl>
      <w:tblPr>
        <w:tblStyle w:val="TableGrid"/>
        <w:tblW w:type="auto" w:w="0"/>
        <w:jc w:val="center"/>
        <w:tblLook w:firstColumn="1" w:firstRow="1" w:lastColumn="0" w:lastRow="0" w:noHBand="0" w:noVBand="1" w:val="04A0"/>
      </w:tblPr>
      <w:tblGrid>
        <w:gridCol w:w="3249"/>
        <w:gridCol w:w="3249"/>
        <w:gridCol w:w="3249"/>
      </w:tblGrid>
      <w:tr>
        <w:tc>
          <w:tcPr>
            <w:tcW w:type="dxa" w:w="5102"/>
            <w:shd w:val="clear" w:color="auto" w:fill="D9E2F3"/>
          </w:tcPr>
          <w:p>
            <w:pPr>
              <w:spacing w:after="0"/>
            </w:pPr>
            <w:r>
              <w:rPr>
                <w:sz w:val="19"/>
              </w:rPr>
            </w:r>
            <w:r>
              <w:rPr>
                <w:b/>
                <w:sz w:val="19"/>
              </w:rPr>
              <w:t>Chỉ số</w:t>
            </w:r>
          </w:p>
        </w:tc>
        <w:tc>
          <w:tcPr>
            <w:tcW w:type="dxa" w:w="1984"/>
            <w:shd w:val="clear" w:color="auto" w:fill="D9E2F3"/>
          </w:tcPr>
          <w:p>
            <w:pPr>
              <w:spacing w:after="0"/>
            </w:pPr>
            <w:r>
              <w:rPr>
                <w:sz w:val="19"/>
              </w:rPr>
            </w:r>
            <w:r>
              <w:rPr>
                <w:b/>
                <w:sz w:val="19"/>
              </w:rPr>
              <w:t>P</w:t>
            </w:r>
          </w:p>
        </w:tc>
        <w:tc>
          <w:tcPr>
            <w:tcW w:type="dxa" w:w="2551"/>
            <w:shd w:val="clear" w:color="auto" w:fill="D9E2F3"/>
          </w:tcPr>
          <w:p>
            <w:pPr>
              <w:spacing w:after="0"/>
            </w:pPr>
            <w:r>
              <w:rPr>
                <w:sz w:val="19"/>
              </w:rPr>
            </w:r>
            <w:r>
              <w:rPr>
                <w:b/>
                <w:sz w:val="19"/>
              </w:rPr>
              <w:t>Pipeline + Qwen2.5-7B gốc</w:t>
            </w:r>
          </w:p>
        </w:tc>
      </w:tr>
      <w:tr>
        <w:tc>
          <w:tcPr>
            <w:tcW w:type="dxa" w:w="5102"/>
          </w:tcPr>
          <w:p>
            <w:pPr>
              <w:spacing w:after="0"/>
            </w:pPr>
            <w:r>
              <w:rPr>
                <w:sz w:val="19"/>
              </w:rPr>
            </w:r>
            <w:r>
              <w:rPr>
                <w:sz w:val="19"/>
              </w:rPr>
              <w:t>Nhóm dữ liệu B2: hội thoại đủ 4 state ở lượt cuối</w:t>
            </w:r>
          </w:p>
        </w:tc>
        <w:tc>
          <w:tcPr>
            <w:tcW w:type="dxa" w:w="1984"/>
          </w:tcPr>
          <w:p>
            <w:pPr>
              <w:spacing w:after="0"/>
            </w:pPr>
            <w:r>
              <w:rPr>
                <w:sz w:val="19"/>
              </w:rPr>
            </w:r>
            <w:r>
              <w:rPr>
                <w:sz w:val="19"/>
              </w:rPr>
              <w:t>76</w:t>
            </w:r>
          </w:p>
        </w:tc>
        <w:tc>
          <w:tcPr>
            <w:tcW w:type="dxa" w:w="2551"/>
          </w:tcPr>
          <w:p>
            <w:pPr>
              <w:spacing w:after="0"/>
            </w:pPr>
            <w:r>
              <w:rPr>
                <w:sz w:val="19"/>
              </w:rPr>
            </w:r>
            <w:r>
              <w:rPr>
                <w:sz w:val="19"/>
              </w:rPr>
              <w:t>65</w:t>
            </w:r>
          </w:p>
        </w:tc>
      </w:tr>
      <w:tr>
        <w:tc>
          <w:tcPr>
            <w:tcW w:type="dxa" w:w="5102"/>
          </w:tcPr>
          <w:p>
            <w:pPr>
              <w:spacing w:after="0"/>
            </w:pPr>
            <w:r>
              <w:rPr>
                <w:sz w:val="19"/>
              </w:rPr>
            </w:r>
            <w:r>
              <w:rPr>
                <w:sz w:val="19"/>
              </w:rPr>
              <w:t>Đủ 4 state, không có cờ y tế → truy xuất database</w:t>
            </w:r>
          </w:p>
        </w:tc>
        <w:tc>
          <w:tcPr>
            <w:tcW w:type="dxa" w:w="1984"/>
          </w:tcPr>
          <w:p>
            <w:pPr>
              <w:spacing w:after="0"/>
            </w:pPr>
            <w:r>
              <w:rPr>
                <w:sz w:val="19"/>
              </w:rPr>
            </w:r>
            <w:r>
              <w:rPr>
                <w:sz w:val="19"/>
              </w:rPr>
              <w:t>72/72</w:t>
            </w:r>
          </w:p>
        </w:tc>
        <w:tc>
          <w:tcPr>
            <w:tcW w:type="dxa" w:w="2551"/>
          </w:tcPr>
          <w:p>
            <w:pPr>
              <w:spacing w:after="0"/>
            </w:pPr>
            <w:r>
              <w:rPr>
                <w:sz w:val="19"/>
              </w:rPr>
            </w:r>
            <w:r>
              <w:rPr>
                <w:sz w:val="19"/>
              </w:rPr>
              <w:t>64/64</w:t>
            </w:r>
          </w:p>
        </w:tc>
      </w:tr>
      <w:tr>
        <w:tc>
          <w:tcPr>
            <w:tcW w:type="dxa" w:w="5102"/>
          </w:tcPr>
          <w:p>
            <w:pPr>
              <w:spacing w:after="0"/>
            </w:pPr>
            <w:r>
              <w:rPr>
                <w:sz w:val="19"/>
              </w:rPr>
            </w:r>
            <w:r>
              <w:rPr>
                <w:sz w:val="19"/>
              </w:rPr>
              <w:t>Thiếu state: hỏi tiếp state / vào nhánh thuốc</w:t>
            </w:r>
          </w:p>
        </w:tc>
        <w:tc>
          <w:tcPr>
            <w:tcW w:type="dxa" w:w="1984"/>
          </w:tcPr>
          <w:p>
            <w:pPr>
              <w:spacing w:after="0"/>
            </w:pPr>
            <w:r>
              <w:rPr>
                <w:sz w:val="19"/>
              </w:rPr>
            </w:r>
            <w:r>
              <w:rPr>
                <w:sz w:val="19"/>
              </w:rPr>
              <w:t>155 / 9</w:t>
            </w:r>
          </w:p>
        </w:tc>
        <w:tc>
          <w:tcPr>
            <w:tcW w:type="dxa" w:w="2551"/>
          </w:tcPr>
          <w:p>
            <w:pPr>
              <w:spacing w:after="0"/>
            </w:pPr>
            <w:r>
              <w:rPr>
                <w:sz w:val="19"/>
              </w:rPr>
            </w:r>
            <w:r>
              <w:rPr>
                <w:sz w:val="19"/>
              </w:rPr>
              <w:t>167 / 8</w:t>
            </w:r>
          </w:p>
        </w:tc>
      </w:tr>
      <w:tr>
        <w:tc>
          <w:tcPr>
            <w:tcW w:type="dxa" w:w="5102"/>
          </w:tcPr>
          <w:p>
            <w:pPr>
              <w:spacing w:after="0"/>
            </w:pPr>
            <w:r>
              <w:rPr>
                <w:sz w:val="19"/>
              </w:rPr>
            </w:r>
            <w:r>
              <w:rPr>
                <w:sz w:val="19"/>
              </w:rPr>
              <w:t>Nhóm dữ liệu B3: cờ y tế bật → nhánh thuốc</w:t>
            </w:r>
          </w:p>
        </w:tc>
        <w:tc>
          <w:tcPr>
            <w:tcW w:type="dxa" w:w="1984"/>
          </w:tcPr>
          <w:p>
            <w:pPr>
              <w:spacing w:after="0"/>
            </w:pPr>
            <w:r>
              <w:rPr>
                <w:sz w:val="19"/>
              </w:rPr>
            </w:r>
            <w:r>
              <w:rPr>
                <w:sz w:val="19"/>
              </w:rPr>
              <w:t>169/171</w:t>
            </w:r>
          </w:p>
        </w:tc>
        <w:tc>
          <w:tcPr>
            <w:tcW w:type="dxa" w:w="2551"/>
          </w:tcPr>
          <w:p>
            <w:pPr>
              <w:spacing w:after="0"/>
            </w:pPr>
            <w:r>
              <w:rPr>
                <w:sz w:val="19"/>
              </w:rPr>
            </w:r>
            <w:r>
              <w:rPr>
                <w:sz w:val="19"/>
              </w:rPr>
              <w:t>168/169</w:t>
            </w:r>
          </w:p>
        </w:tc>
      </w:tr>
    </w:tbl>
    <w:p/>
    <w:p>
      <w:pPr>
        <w:pStyle w:val="ListBullet"/>
      </w:pPr>
      <w:r>
        <w:t>Khi đã có thông tin, cơ chế định tuyến cho kết quả như P (đủ 4 state thì truy xuất database, cờ y tế bật thì vào nhánh thuốc). Khác biệt nằm ở số hội thoại gom được đủ 4 state (65 so với 76).</w:t>
      </w:r>
    </w:p>
    <w:p>
      <w:pPr>
        <w:pStyle w:val="ListBullet"/>
      </w:pPr>
      <w:r>
        <w:t>So từng hội thoại với P, nhánh ở lượt cuối khác ở 31/121 hội thoại nhiều lượt của nhóm B2 và 4/50 của nhóm B3, nhưng chỉ 7/309 hội thoại một lượt. Ở lượt 1 (đầu vào giống hệt P), LLM #1 trích state khác P ở 29/480 hội thoại và cho nhánh khác ở 7/480: đây là dao động của LLM #1 giữa hai lần chạy, không do model trả lời.</w:t>
      </w:r>
    </w:p>
    <w:p>
      <w:pPr>
        <w:pStyle w:val="Heading2"/>
      </w:pPr>
      <w:r>
        <w:t>4.6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8 người chấm (6 người chấm từ 26/09 đến 13/10 và 2 người chấm bổ sung ngày 18/10, chuyên môn Y khoa), cùng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và cho rằng mẫu PSY-01 có thể gắn nhầm nhãn trầm cảm. Một người đề nghị nêu lượng ăn cụ thể; hệ thống chủ ý không nêu định lượng nên đề xuất này không áp dụng.</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eval_result_final/eval_grounding_results/logs/turns.jsonl</w:t>
            </w:r>
          </w:p>
        </w:tc>
      </w:tr>
      <w:tr>
        <w:tc>
          <w:tcPr>
            <w:tcW w:type="dxa" w:w="3118"/>
          </w:tcPr>
          <w:p>
            <w:pPr>
              <w:spacing w:after="0"/>
            </w:pPr>
            <w:r>
              <w:rPr>
                <w:sz w:val="19"/>
              </w:rPr>
            </w:r>
            <w:r>
              <w:rPr>
                <w:b/>
                <w:sz w:val="19"/>
              </w:rPr>
              <w:t>Grounding và định tuyến (20/10)</w:t>
            </w:r>
          </w:p>
        </w:tc>
        <w:tc>
          <w:tcPr>
            <w:tcW w:type="dxa" w:w="6633"/>
          </w:tcPr>
          <w:p>
            <w:pPr>
              <w:spacing w:after="0"/>
            </w:pPr>
            <w:r>
              <w:rPr>
                <w:sz w:val="19"/>
              </w:rPr>
            </w:r>
            <w:r>
              <w:rPr>
                <w:sz w:val="19"/>
              </w:rPr>
              <w:t>eval_result_final/eval_grounding_results/logs/eval/grounding/</w:t>
            </w:r>
          </w:p>
        </w:tc>
      </w:tr>
      <w:tr>
        <w:tc>
          <w:tcPr>
            <w:tcW w:type="dxa" w:w="3118"/>
          </w:tcPr>
          <w:p>
            <w:pPr>
              <w:spacing w:after="0"/>
            </w:pPr>
            <w:r>
              <w:rPr>
                <w:sz w:val="19"/>
              </w:rPr>
            </w:r>
            <w:r>
              <w:rPr>
                <w:b/>
                <w:sz w:val="19"/>
              </w:rPr>
              <w:t>Định tuyến nhiều lượt của Pipeline + Qwen2.5-7B gốc (21/10)</w:t>
            </w:r>
          </w:p>
        </w:tc>
        <w:tc>
          <w:tcPr>
            <w:tcW w:type="dxa" w:w="6633"/>
          </w:tcPr>
          <w:p>
            <w:pPr>
              <w:spacing w:after="0"/>
            </w:pPr>
            <w:r>
              <w:rPr>
                <w:sz w:val="19"/>
              </w:rPr>
            </w:r>
            <w:r>
              <w:rPr>
                <w:sz w:val="19"/>
              </w:rPr>
              <w:t>eval_routing_baseline_results/logs/eval/grounding_pipeline_qwen_goc/</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