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cuối 20/10/2026)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trên hệ thống đã cố định, không dùng để chỉnh prompt hay từ khóa. Lần chạy cuối dùng đúng hệ thống của lần chạy 16–17/10 để notebook in trực tiếp các bảng; LLM #1 (temperature 0) cho kết quả trùng lần trước, các chỉ số phụ thuộc LLM #2 (temperature 0,3) xê dịch nhẹ. P = hệ thống đề xuất. 3 baseline gọi theo model trả lời: Qwen2.5-7B gốc và qwen-huhu trả lời trực tiếp (không pipeline); Pipeline + Qwen2.5-7B gốc là toàn pipeline với model gốc (trong code và tên file mang mã B1, B2, B3, khác với nhóm dữ liệu B1–B4).</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Qwen2.5-7B gốc</w:t>
            </w:r>
          </w:p>
        </w:tc>
        <w:tc>
          <w:tcPr>
            <w:tcW w:w="1500" w:type="dxa"/>
            <w:shd w:val="clear" w:color="auto" w:fill="F2F2F2"/>
          </w:tcPr>
          <w:p>
            <w:pPr/>
            <w:r>
              <w:t>qwen-huhu</w:t>
            </w:r>
          </w:p>
        </w:tc>
        <w:tc>
          <w:tcPr>
            <w:tcW w:w="1500" w:type="dxa"/>
            <w:shd w:val="clear" w:color="auto" w:fill="F2F2F2"/>
          </w:tcPr>
          <w:p>
            <w:pPr/>
            <w:r>
              <w:t>Pipeline + Qwen2.5-7B gốc</w:t>
            </w:r>
          </w:p>
        </w:tc>
      </w:tr>
      <w:tr>
        <w:tc>
          <w:tcPr>
            <w:tcW w:w="3360" w:type="dxa"/>
          </w:tcPr>
          <w:p>
            <w:pPr/>
            <w:r>
              <w:t xml:space="preserve">Crisis: đạt hiệu quả (164 câu)</w:t>
            </w:r>
          </w:p>
        </w:tc>
        <w:tc>
          <w:tcPr>
            <w:tcW w:w="1500" w:type="dxa"/>
          </w:tcPr>
          <w:p>
            <w:pPr/>
            <w:r>
              <w:t>90,9%</w:t>
            </w:r>
          </w:p>
        </w:tc>
        <w:tc>
          <w:tcPr>
            <w:tcW w:w="1500" w:type="dxa"/>
          </w:tcPr>
          <w:p>
            <w:pPr/>
            <w:r>
              <w:t>5,5%</w:t>
            </w:r>
          </w:p>
        </w:tc>
        <w:tc>
          <w:tcPr>
            <w:tcW w:w="1500" w:type="dxa"/>
          </w:tcPr>
          <w:p>
            <w:pPr/>
            <w:r>
              <w:t>0,6%</w:t>
            </w:r>
          </w:p>
        </w:tc>
        <w:tc>
          <w:tcPr>
            <w:tcW w:w="1500" w:type="dxa"/>
          </w:tcPr>
          <w:p>
            <w:pPr/>
            <w:r>
              <w:t>90,9%</w:t>
            </w:r>
          </w:p>
        </w:tc>
      </w:tr>
      <w:tr>
        <w:tc>
          <w:tcPr>
            <w:tcW w:w="3360" w:type="dxa"/>
          </w:tcPr>
          <w:p>
            <w:pPr/>
            <w:r>
              <w:t xml:space="preserve">Crisis: recall / F1 phản hồi khẩn cấp</w:t>
            </w:r>
          </w:p>
        </w:tc>
        <w:tc>
          <w:tcPr>
            <w:tcW w:w="1500" w:type="dxa"/>
          </w:tcPr>
          <w:p>
            <w:pPr/>
            <w:r>
              <w:t>90,9% / 94,6%</w:t>
            </w:r>
          </w:p>
        </w:tc>
        <w:tc>
          <w:tcPr>
            <w:tcW w:w="1500" w:type="dxa"/>
          </w:tcPr>
          <w:p>
            <w:pPr/>
            <w:r>
              <w:t>5,5% / 10,2%</w:t>
            </w:r>
          </w:p>
        </w:tc>
        <w:tc>
          <w:tcPr>
            <w:tcW w:w="1500" w:type="dxa"/>
          </w:tcPr>
          <w:p>
            <w:pPr/>
            <w:r>
              <w:t>0,6% / 1,2%</w:t>
            </w:r>
          </w:p>
        </w:tc>
        <w:tc>
          <w:tcPr>
            <w:tcW w:w="1500" w:type="dxa"/>
          </w:tcPr>
          <w:p>
            <w:pPr/>
            <w:r>
              <w:t>90,9% / 94,6%</w:t>
            </w:r>
          </w:p>
        </w:tc>
      </w:tr>
      <w:tr>
        <w:tc>
          <w:tcPr>
            <w:tcW w:w="3360" w:type="dxa"/>
          </w:tcPr>
          <w:p>
            <w:pPr/>
            <w:r>
              <w:t xml:space="preserve">Safety: đạt cả 5 tiêu chí (tự động)</w:t>
            </w:r>
          </w:p>
        </w:tc>
        <w:tc>
          <w:tcPr>
            <w:tcW w:w="1500" w:type="dxa"/>
          </w:tcPr>
          <w:p>
            <w:pPr/>
            <w:r>
              <w:t>95,3%</w:t>
            </w:r>
          </w:p>
        </w:tc>
        <w:tc>
          <w:tcPr>
            <w:tcW w:w="1500" w:type="dxa"/>
          </w:tcPr>
          <w:p>
            <w:pPr/>
            <w:r>
              <w:t>43,0%</w:t>
            </w:r>
          </w:p>
        </w:tc>
        <w:tc>
          <w:tcPr>
            <w:tcW w:w="1500" w:type="dxa"/>
          </w:tcPr>
          <w:p>
            <w:pPr/>
            <w:r>
              <w:t>84,3%</w:t>
            </w:r>
          </w:p>
        </w:tc>
        <w:tc>
          <w:tcPr>
            <w:tcW w:w="1500" w:type="dxa"/>
          </w:tcPr>
          <w:p>
            <w:pPr/>
            <w:r>
              <w:t>98,0%*</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 xml:space="preserve">Safety: đạt hiệu quả</w:t>
            </w:r>
          </w:p>
        </w:tc>
        <w:tc>
          <w:tcPr>
            <w:tcW w:w="1500" w:type="dxa"/>
          </w:tcPr>
          <w:p>
            <w:pPr/>
            <w:r>
              <w:t>95,3%</w:t>
            </w:r>
          </w:p>
        </w:tc>
        <w:tc>
          <w:tcPr>
            <w:tcW w:w="1500" w:type="dxa"/>
          </w:tcPr>
          <w:p>
            <w:pPr/>
            <w:r>
              <w:t>43,0%</w:t>
            </w:r>
          </w:p>
        </w:tc>
        <w:tc>
          <w:tcPr>
            <w:tcW w:w="1500" w:type="dxa"/>
          </w:tcPr>
          <w:p>
            <w:pPr/>
            <w:r>
              <w:t>84,3%</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*Pipeline + Qwen2.5-7B gốc: 298/300 câu là câu dự phòng soạn sẵn vì model gốc hỏng định dạng, nên không dùng cột này để so sánh. McNemar: P tốt hơn Qwen2.5-7B gốc và qwen-huhu (trả lời trực tiếp) trên cả hai bộ, tốt hơn Pipeline + Qwen2.5-7B gốc trên safety (p &lt; 0,001); hai hệ thống này ngang nhau trên crisis vì dùng chung LLM #1.</w:t>
      </w:r>
    </w:p>
    <w:p>
      <w:pPr>
        <w:pStyle w:val="ListParagraph"/>
        <w:numPr>
          <w:ilvl w:val="0"/>
          <w:numId w:val="15"/>
        </w:numPr>
      </w:pPr>
      <w:r>
        <w:t>LLM #1 phát hiện khủng hoảng 148/164 (90,2%): hoảng loạn 65/65, tự sát 55/60, tự hại 28/39; báo khủng hoảng trên 300 câu safety 2/300 (SAFE_244 có ý tự hại thật; SAFE_185 là báo nhầm). Nhiều ca tự hại bị sót gắn với vết thương thể chất (cào tay, cắn môi chảy máu). Ở 15 ca P xử lý sai, model fine-tune trả lời như hội thoại thường hoặc theo nhánh thuốc, có câu nguy hiểm; 15 ca này trùng với lần chạy 16–17/10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trên lần chạy 16–17/10):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 Ở lần chạy cuối, P trượt 14 câu safety: 10 câu đã chấm tay, 4 câu mới (SAFE_144, 151, 217, 237).</w:t>
      </w:r>
    </w:p>
    <w:p>
      <w:pPr>
        <w:pStyle w:val="ListParagraph"/>
        <w:numPr>
          <w:ilvl w:val="0"/>
          <w:numId w:val="15"/>
        </w:numPr>
      </w:pPr>
      <w:r>
        <w:t>Grounding và định tuyến trên tập test fine-tune B1–B4: qwen-huhu đúng JSON và mã nguồn thuộc context 100%, không định lượng 100%; hai cột do giám khảo chấm (tác dụng, món ngoài dữ liệu) chưa đáng tin, cần người chấm. Định tuyến chấm khi thông tin đã có trong hội thoại (nhãn nhánh của tập test gắn theo kịch bản sinh dữ liệu): B2 đủ 4 state và không có cờ y tế → truy xuất database 72/72; B3 khi cờ y tế bật → nhánh thuốc 169/171. Theo các tình trạng thuộc định nghĩa cờ y tế (nhịn ăn, thức trắng chỉ tính khi đã gây triệu chứng thể chất), cờ bật 168/224 hội thoại;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so với lần chạy 16–17/10): crisis đạt hiệu quả P 149 → 161/164 (p = 0,0005), nhưng báo khủng hoảng trên bộ safety 3 → 9/300 và 157/958 hội thoại bình thường của tập test fine-tune bị chuyển sang phản hồi khủng hoảng,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(7/16), cà phê (3/9),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 chạy lại lần cuối 20/10 (cùng hệ thống; số chính thức).</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