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tỷ lệ hỏi state (xấp xỉ),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16–17/10/2026)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một lần trên hệ thống đã cố định, không dùng để chỉnh prompt hay từ khóa. P = hệ thống đề xuất; B1 = Qwen gốc trả lời trực tiếp; B2 = qwen-huhu trả lời trực tiếp; B3 = pipeline với Qwen gốc.</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 xml:space="preserve">B1</w:t>
            </w:r>
          </w:p>
        </w:tc>
        <w:tc>
          <w:tcPr>
            <w:tcW w:w="1500" w:type="dxa"/>
            <w:shd w:val="clear" w:color="auto" w:fill="F2F2F2"/>
          </w:tcPr>
          <w:p>
            <w:pPr/>
            <w:r>
              <w:t xml:space="preserve">B2</w:t>
            </w:r>
          </w:p>
        </w:tc>
        <w:tc>
          <w:tcPr>
            <w:tcW w:w="1500" w:type="dxa"/>
            <w:shd w:val="clear" w:color="auto" w:fill="F2F2F2"/>
          </w:tcPr>
          <w:p>
            <w:pPr/>
            <w:r>
              <w:t xml:space="preserve">B3</w:t>
            </w:r>
          </w:p>
        </w:tc>
      </w:tr>
      <w:tr>
        <w:tc>
          <w:tcPr>
            <w:tcW w:w="3360" w:type="dxa"/>
          </w:tcPr>
          <w:p>
            <w:pPr/>
            <w:r>
              <w:t xml:space="preserve">Crisis: đạt hiệu quả (164 câu)</w:t>
            </w:r>
          </w:p>
        </w:tc>
        <w:tc>
          <w:tcPr>
            <w:tcW w:w="1500" w:type="dxa"/>
          </w:tcPr>
          <w:p>
            <w:pPr/>
            <w:r>
              <w:t>90,9%</w:t>
            </w:r>
          </w:p>
        </w:tc>
        <w:tc>
          <w:tcPr>
            <w:tcW w:w="1500" w:type="dxa"/>
          </w:tcPr>
          <w:p>
            <w:pPr/>
            <w:r>
              <w:t>6,7%</w:t>
            </w:r>
          </w:p>
        </w:tc>
        <w:tc>
          <w:tcPr>
            <w:tcW w:w="1500" w:type="dxa"/>
          </w:tcPr>
          <w:p>
            <w:pPr/>
            <w:r>
              <w:t>0,0%</w:t>
            </w:r>
          </w:p>
        </w:tc>
        <w:tc>
          <w:tcPr>
            <w:tcW w:w="1500" w:type="dxa"/>
          </w:tcPr>
          <w:p>
            <w:pPr/>
            <w:r>
              <w:t>90,9%</w:t>
            </w:r>
          </w:p>
        </w:tc>
      </w:tr>
      <w:tr>
        <w:tc>
          <w:tcPr>
            <w:tcW w:w="3360" w:type="dxa"/>
          </w:tcPr>
          <w:p>
            <w:pPr/>
            <w:r>
              <w:t xml:space="preserve">Crisis: recall / F1 phản hồi khẩn cấp</w:t>
            </w:r>
          </w:p>
        </w:tc>
        <w:tc>
          <w:tcPr>
            <w:tcW w:w="1500" w:type="dxa"/>
          </w:tcPr>
          <w:p>
            <w:pPr/>
            <w:r>
              <w:t>90,9% / 94,3%</w:t>
            </w:r>
          </w:p>
        </w:tc>
        <w:tc>
          <w:tcPr>
            <w:tcW w:w="1500" w:type="dxa"/>
          </w:tcPr>
          <w:p>
            <w:pPr/>
            <w:r>
              <w:t>7,3% / 13,4%</w:t>
            </w:r>
          </w:p>
        </w:tc>
        <w:tc>
          <w:tcPr>
            <w:tcW w:w="1500" w:type="dxa"/>
          </w:tcPr>
          <w:p>
            <w:pPr/>
            <w:r>
              <w:t>0,0% / 0,0%</w:t>
            </w:r>
          </w:p>
        </w:tc>
        <w:tc>
          <w:tcPr>
            <w:tcW w:w="1500" w:type="dxa"/>
          </w:tcPr>
          <w:p>
            <w:pPr/>
            <w:r>
              <w:t>90,9% / 94,6%</w:t>
            </w:r>
          </w:p>
        </w:tc>
      </w:tr>
      <w:tr>
        <w:tc>
          <w:tcPr>
            <w:tcW w:w="3360" w:type="dxa"/>
          </w:tcPr>
          <w:p>
            <w:pPr/>
            <w:r>
              <w:t xml:space="preserve">Safety: đạt cả 5 tiêu chí (tự động)</w:t>
            </w:r>
          </w:p>
        </w:tc>
        <w:tc>
          <w:tcPr>
            <w:tcW w:w="1500" w:type="dxa"/>
          </w:tcPr>
          <w:p>
            <w:pPr/>
            <w:r>
              <w:t>92,7%</w:t>
            </w:r>
          </w:p>
        </w:tc>
        <w:tc>
          <w:tcPr>
            <w:tcW w:w="1500" w:type="dxa"/>
          </w:tcPr>
          <w:p>
            <w:pPr/>
            <w:r>
              <w:t>40,7%</w:t>
            </w:r>
          </w:p>
        </w:tc>
        <w:tc>
          <w:tcPr>
            <w:tcW w:w="1500" w:type="dxa"/>
          </w:tcPr>
          <w:p>
            <w:pPr/>
            <w:r>
              <w:t>83,0%</w:t>
            </w:r>
          </w:p>
        </w:tc>
        <w:tc>
          <w:tcPr>
            <w:tcW w:w="1500" w:type="dxa"/>
          </w:tcPr>
          <w:p>
            <w:pPr/>
            <w:r>
              <w:t>98,0%*</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 xml:space="preserve">Safety: đạt hiệu quả</w:t>
            </w:r>
          </w:p>
        </w:tc>
        <w:tc>
          <w:tcPr>
            <w:tcW w:w="1500" w:type="dxa"/>
          </w:tcPr>
          <w:p>
            <w:pPr/>
            <w:r>
              <w:t>92,7%</w:t>
            </w:r>
          </w:p>
        </w:tc>
        <w:tc>
          <w:tcPr>
            <w:tcW w:w="1500" w:type="dxa"/>
          </w:tcPr>
          <w:p>
            <w:pPr/>
            <w:r>
              <w:t>40,7%</w:t>
            </w:r>
          </w:p>
        </w:tc>
        <w:tc>
          <w:tcPr>
            <w:tcW w:w="1500" w:type="dxa"/>
          </w:tcPr>
          <w:p>
            <w:pPr/>
            <w:r>
              <w:t>83,0%</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*B3: 298/300 câu là câu dự phòng soạn sẵn vì model gốc hỏng định dạng, nên không dùng cột này để so sánh. McNemar: P tốt hơn B1, B2 trên cả hai bộ và tốt hơn B3 trên safety (p &lt; 0,001); P và B3 ngang nhau trên crisis vì dùng chung LLM #1.</w:t>
      </w:r>
    </w:p>
    <w:p>
      <w:pPr>
        <w:pStyle w:val="ListParagraph"/>
        <w:numPr>
          <w:ilvl w:val="0"/>
          <w:numId w:val="15"/>
        </w:numPr>
      </w:pPr>
      <w:r>
        <w:t>LLM #1 phát hiện khủng hoảng 148/164 (90,2%): hoảng loạn 65/65, tự sát 55/60, tự hại 28/39; báo khủng hoảng trên 300 câu safety 3/300 (chỉ SAFE_185 là cờ khủng hoảng bật nhầm). Nhiều ca tự hại bị sót gắn với vết thương thể chất (cào tay, cắn môi chảy máu). Ở 15 ca P xử lý sai, model fine-tune trả lời như hội thoại thường hoặc theo nhánh thuốc, có câu nguy hiểm (logs/eval/chamtay_after_b3fix.md).</w:t>
      </w:r>
    </w:p>
    <w:p>
      <w:pPr>
        <w:pStyle w:val="ListParagraph"/>
        <w:numPr>
          <w:ilvl w:val="0"/>
          <w:numId w:val="15"/>
        </w:numPr>
      </w:pPr>
      <w:r>
        <w:t>Truy xuất (300 câu, qua PostgreSQL): trích được state 83,7%; trích đúng state nhóm sleep/appetite 89,0%; đích tác động cao nhất đúng 61,2%, có đích đúng 73,8%; MRR 0,673.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w:t>
      </w:r>
    </w:p>
    <w:p>
      <w:pPr>
        <w:pStyle w:val="ListParagraph"/>
        <w:numPr>
          <w:ilvl w:val="0"/>
          <w:numId w:val="15"/>
        </w:numPr>
      </w:pPr>
      <w:r>
        <w:t>Grounding và định tuyến trên tập test fine-tune B1–B4: qwen-huhu đúng JSON và mã nguồn thuộc context 99,6%, không định lượng 100%; hai cột do giám khảo chấm (tác dụng, món ngoài dữ liệu) chưa đáng tin, cần người chấm. Định tuyến đúng nhãn ở lượt cuối 66,7% (B1 77,3%, B2 28,3%, B3 70,4%, B4 90,8%). Theo tiêu chí của nhóm: B2 đủ 4 state và không có cờ y tế → truy xuất database 68/68; B3 khi cờ y tế bật → nhánh thuốc 169/170. Cờ y tế còn sót nhiều ca rượu bia, thuốc lá/vape, cà phê, nhịn ăn; 35 hội thoại B1 vào nhánh thuốc, Claude nhận định 25 ca đúng theo định nghĩa B3, 5 ranh giới, 5 sai. F1 nhận diện state 75,7%.</w:t>
      </w:r>
    </w:p>
    <w:p>
      <w:pPr>
        <w:pStyle w:val="ListParagraph"/>
        <w:numPr>
          <w:ilvl w:val="0"/>
          <w:numId w:val="15"/>
        </w:numPr>
      </w:pPr>
      <w:r>
        <w:t xml:space="preserve">Kiểm chứng dữ liệu với 6 người chấm (40 mẫu): điểm trung bình 4,60–4,96/5; Gwet's AC2 0,95, Fleiss' κ trên cột chọn 0,91;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crisis đạt hiệu quả P 149 → 161/164 (p = 0,0005), nhưng báo khủng hoảng trên bộ safety 3 → 9/300 và 157/958 hội thoại bình thường của tập test fine-tune bị chuyển sang phản hồi khủng hoảng (định tuyến đúng 66,7% → 54,3%),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nhịn ăn (6/19), thuốc lá/vape (6/16), cà phê (2/9), thức trắng kèm triệu chứng thể chất (0/20), và đôi khi bật nhầm khi bệnh hoặc thuốc là của người khác. B2 một lượt chỉ vào nhánh dinh dưỡng 6,7% vì LLM #1 không trích đủ 4 states từ một câu.</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xml:space="preserve">☑ Kiểm chứng dữ liệu với 6 người chấm; tính Fleiss' κ, Krippendorff's α, Gwet's AC (expert_feedback/TONG_KET_CHUYEN_GIA.md)</w:t>
      </w:r>
    </w:p>
    <w:p>
      <w:pPr>
        <w:pStyle w:val="ListParagraph"/>
        <w:numPr>
          <w:ilvl w:val="0"/>
          <w:numId w:val="17"/>
        </w:numPr>
      </w:pPr>
      <w:r>
        <w:t>☑ Nhóm chấm tay xong (17/10, chamtay_after_b3fix.md): 22/22 ca safety, 15/15 ca khủng hoảng. Còn lại: phân loại 35 hội thoại B1 vào nhánh thuốc (mục C) chưa ghi kết luận</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