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Times New Roman" w:hAnsi="Times New Roman" w:eastAsia="黑体"/>
          <w:b/>
          <w:sz w:val="32"/>
        </w:rPr>
        <w:t>一、模块方案论证与选型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1、循迹检测方案论证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方案一：反射式红外数字阵列检测。</w:t>
      </w:r>
      <w:r>
        <w:rPr>
          <w:rFonts w:ascii="Times New Roman" w:hAnsi="Times New Roman" w:eastAsia="宋体"/>
          <w:sz w:val="24"/>
        </w:rPr>
        <w:t>该方案利用白色场地与黑色轨迹对红外光反射率的差异，由各通道比较器将反射强弱转换为数字电平，再依据多个探头的空间分布判断轨迹相对车体中心的位置。其优点是响应速度快、接口简单、处理时延小，能够直接采用 GPIO 并行采样；缺点是阈值依赖环境光、安装高度和表面反射特性，必须通过遮光、阈值整定和多通道融合降低误判。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方案二：线阵 CCD 或灰度摄像头检测。</w:t>
      </w:r>
      <w:r>
        <w:rPr>
          <w:rFonts w:ascii="Times New Roman" w:hAnsi="Times New Roman" w:eastAsia="宋体"/>
          <w:sz w:val="24"/>
        </w:rPr>
        <w:t>该方案获取连续灰度分布或图像，通过边缘提取、阈值分割和中心线拟合得到更高分辨率的路径位置，并可提前感知弯道。其优点是信息量大、定位分辨率高；缺点是采样、曝光和图像处理链路复杂，对光照变化、运算资源和安装姿态较敏感，系统调试周期与实时性风险均高于数字红外阵列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本题明确限定循迹模块采用红外光电模块，黑线宽度为1.8±0.2 cm，且车辆必须在运动过程中保持投影不完全脱离轨迹。综合赛题约束、10 ms闭环周期、主控资源及现场可维护性，本设计最终采用七路反射式红外数字循迹阵列。七个探头沿车体横向由左至右布置为S1-S7，中间通道S4对准车辆纵向中心线；相较于少通道方案，七路阵列能够同时提供中心、左右偏移和宽黑线组合信息，兼顾常规循迹、启停线识别和扩展路口识别需求。</w:t>
      </w:r>
    </w:p>
    <w:p>
      <w:pPr>
        <w:spacing w:lineRule="exact" w:line="3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表1  循迹检测方案对比</w:t>
      </w:r>
    </w:p>
    <w:tbl>
      <w:tblPr>
        <w:tblStyle w:val="TableGrid"/>
        <w:tblW w:type="dxa" w:w="898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77"/>
        <w:gridCol w:w="1497"/>
        <w:gridCol w:w="2395"/>
        <w:gridCol w:w="2395"/>
        <w:gridCol w:w="1316"/>
      </w:tblGrid>
      <w:tr>
        <w:trPr>
          <w:tblHeader w:val="true"/>
        </w:trPr>
        <w:tc>
          <w:tcPr>
            <w:tcW w:type="dxa" w:w="1377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方案</w:t>
            </w:r>
          </w:p>
        </w:tc>
        <w:tc>
          <w:tcPr>
            <w:tcW w:type="dxa" w:w="1497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检测信息</w:t>
            </w:r>
          </w:p>
        </w:tc>
        <w:tc>
          <w:tcPr>
            <w:tcW w:type="dxa" w:w="2395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主要优点</w:t>
            </w:r>
          </w:p>
        </w:tc>
        <w:tc>
          <w:tcPr>
            <w:tcW w:type="dxa" w:w="2395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主要不足</w:t>
            </w:r>
          </w:p>
        </w:tc>
        <w:tc>
          <w:tcPr>
            <w:tcW w:type="dxa" w:w="1316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适用性结论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七路红外数字阵列</w:t>
            </w:r>
          </w:p>
        </w:tc>
        <w:tc>
          <w:tcPr>
            <w:tcW w:type="dxa" w:w="149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7位并行黑白状态</w:t>
            </w:r>
          </w:p>
        </w:tc>
        <w:tc>
          <w:tcPr>
            <w:tcW w:type="dxa" w:w="23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响应快、时延小、接口简单、符合赛题限定</w:t>
            </w:r>
          </w:p>
        </w:tc>
        <w:tc>
          <w:tcPr>
            <w:tcW w:type="dxa" w:w="23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需整定阈值，受高度与杂散光影响</w:t>
            </w:r>
          </w:p>
        </w:tc>
        <w:tc>
          <w:tcPr>
            <w:tcW w:type="dxa" w:w="13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选用</w:t>
            </w:r>
          </w:p>
        </w:tc>
      </w:tr>
      <w:tr>
        <w:trPr>
          <w:cantSplit/>
        </w:trPr>
        <w:tc>
          <w:tcPr>
            <w:tcW w:type="dxa" w:w="137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线阵CCD/摄像头</w:t>
            </w:r>
          </w:p>
        </w:tc>
        <w:tc>
          <w:tcPr>
            <w:tcW w:type="dxa" w:w="149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连续灰度或二维图像</w:t>
            </w:r>
          </w:p>
        </w:tc>
        <w:tc>
          <w:tcPr>
            <w:tcW w:type="dxa" w:w="23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分辨率高，可获得边缘与曲率信息</w:t>
            </w:r>
          </w:p>
        </w:tc>
        <w:tc>
          <w:tcPr>
            <w:tcW w:type="dxa" w:w="23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9"/>
              </w:rPr>
              <w:t>运算量大、曝光敏感、调试复杂，且不符合本题循迹模块限定</w:t>
            </w:r>
          </w:p>
        </w:tc>
        <w:tc>
          <w:tcPr>
            <w:tcW w:type="dxa" w:w="13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不选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2、底盘机械方案与核心硬件选型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底盘采用四轮两驱差速式轮式结构，左右两侧各设置一只主动轮，另配置两只万向轮作为从动支承，形成四点接地支承。两只主动轮独立调速，通过左右主动轮速度差直接产生偏航角速度；两只万向轮随车体运动被动转向，仅承担承载与随动导向作用，不参与驱动及差速控制。该结构不需要舵机转向机构，机械传动链短，四点支承有利于提高承载稳定性和抗倾覆能力，且转弯半径连续可调，适合赛题由两段1.5 m直线与半径0.5 m半圆弧组成的闭合轨道。滚球摆杆和图传装置会提高整车质心，故底盘布置应以低重心、左右质量对称、传感器前置且横向平行为原则，并确保车身外形不超过35 cm×25 cm。项目资料未记录具体轮径、轮距和减速电机型号，成车报告中应以实物BOM及测量值补充，不宜由程序参数反推。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执行机构选用带正交编码器的直流减速电机并配套TB6612FNG类双路H桥驱动。编码器为两侧车轮提供独立速度与累计路程反馈，H桥实现正反转、滑行和短路制动；同一定时器的两个比较通道产生左右轮PWM，可保证频率和周期一致。主控采用MSPM0G3507 64引脚开发板，其Cortex-M0+内核、QEI定时器、双路高级PWM、丰富GPIO、I2C和UART资源能够覆盖循迹、双编码器、电机驱动、姿态传感器、显示与调试接口。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sz w:val="32"/>
        </w:rPr>
        <w:t>二、模块理论分析与原理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1、循迹检测与路径识别原理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七路探头一次采样形成7位状态向量b_i。程序支持高、低电平有效两种极性；当前运行配置为高电平有效。为将离散状态转换为可供闭环控制的连续偏差，对S1-S7分别赋予50、33、16、0、-16、-33、-50的横向权值。当有效通道数为n时，路径偏差按加权质心计算为e=(Σb_iw_i)/n。权值正负定义与差速控制方向一致：偏差为正时降低左轮目标、提高右轮目标，使车体向左修正；偏差为负时执行相反修正。多探头同时检测到黑线时采用平均权值，可抑制单通道跳变并保持宽线条件下的中心估计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启停线采用中心三通道组合识别，即S3、S4、S5同时有效。车辆起跑后必须连续5个控制周期离开启停线并重新识别到普通轨迹，方进入正常运行状态；运行至少100个周期后，中心三通道连续2个周期有效才判定完成一圈。该时序确认机制能够抑制按键起步、传感器抖动和短时宽线干扰。底层另实现直角或路口组合识别：左侧S1-S4全有效而右侧未同时全有效时判为左向特征，右侧S4-S7全有效时判为右向特征；该扩展在当前H题环形赛道任务中被上层配置关闭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2、底盘运动学与转向控制原理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对于四轮两驱差速底盘，两只万向轮属于被动随动支承，不对车辆施加主动驱动力矩，车体的纵向运动与偏航运动仍由左右两只主动轮决定。设左右主动轮线速度分别为v_L、v_R，主动轮轮距为B，则车体中心线速度与偏航角速度分别为v=(v_R+v_L)/2、ω=(v_R-v_L)/B。循迹外环根据路径偏差产生速度修正量Δv，左右主动轮目标设为v_L*=v_0-Δv、v_R*=v_0+Δv，因此平均前进速度主要由基准速度v_0决定，转向强度由两主动轮差速2Δv决定。该控制形式能够在直线段保持左右主动轮等速，在弯道按偏差连续调整曲率；两只万向轮依据车体瞬时运动方向自动回转并随动滚行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控制系统采用串级闭环。外环为循迹PID，离散控制量为u_k=K_pe_k+K_iΣe_k+K_d(e_k-e_{k-1})-K_gω_z，其中ω_z为MPU6050的滤波角速度，用于抑制偏航变化过快。外环输出限幅后转换为左右轮每10 ms目标编码器计数。内环分别以左右轮目标计数与实际增量之差执行速度PID，再输出带符号PWM。外环限幅时冻结积分量，内外环均配置积分和输出限幅，从而降低饱和引起的积分累积与恢复过冲。当前比赛流程保留陀螺阻尼计算能力，但直角转弯状态机由任务层关闭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sz w:val="32"/>
        </w:rPr>
        <w:t>三、模块功能与实现设计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1、功能边界及系统作用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本模块负责车辆沿黑色环形轨迹自主行驶、左右主动轮速度闭环、差速转向、起终点识别、起跑计时、单圈或连续圈运行、基于圈长标定的速度规划、终点制动和运行信息显示。其输出是稳定、可重复的车体平动与偏航运动，为上层滚球平衡控制提供可预测的运动载体；滚球位置视觉测量、摆杆执行器驱动及球位闭环不属于本模块。两类控制通过共同的机械底盘和主控时间基准协同，底盘模块应避免突然加减速和剧烈偏航，以减小滚球平衡模块的外部扰动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2、总体硬件架构与控制流程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系统以MSPM0G3507为核心，七路红外阵列接入连续GPIOB端口，左轮编码器由TIMG8硬件QEI采集，右轮编码器由GPIO双边沿中断完成软件正交解码；TIMG12每10 ms触发一次控制中断，TIMA0的两个PWM通道驱动左右电机。MPU6050经I2C1提供Z轴角速度，板载SSD1306 OLED采用GPIO开漏模拟I2C显示计时、圈次和里程信息。完整工作链路如图1所示。</w:t>
      </w:r>
    </w:p>
    <w:tbl>
      <w:tblPr>
        <w:tblStyle w:val="TableGrid"/>
        <w:tblW w:type="dxa" w:w="89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818"/>
        <w:gridCol w:w="3325"/>
        <w:gridCol w:w="2817"/>
      </w:tblGrid>
      <w:tr>
        <w:trPr/>
        <w:tc>
          <w:tcPr>
            <w:tcW w:type="dxa" w:w="2818"/>
            <w:vAlign w:val="center"/>
            <w:shd w:fill="D9D9D9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信号采集层</w:t>
            </w:r>
          </w:p>
        </w:tc>
        <w:tc>
          <w:tcPr>
            <w:tcW w:type="dxa" w:w="3325"/>
            <w:vAlign w:val="center"/>
            <w:shd w:fill="D9D9D9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逻辑控制层</w:t>
            </w:r>
          </w:p>
        </w:tc>
        <w:tc>
          <w:tcPr>
            <w:tcW w:type="dxa" w:w="2817"/>
            <w:vAlign w:val="center"/>
            <w:shd w:fill="D9D9D9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执行与反馈层</w:t>
            </w:r>
          </w:p>
        </w:tc>
      </w:tr>
      <w:tr>
        <w:trPr>
          <w:cantSplit/>
        </w:trPr>
        <w:tc>
          <w:tcPr>
            <w:tcW w:type="dxa" w:w="2818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spacing w:lineRule="exact" w:line="3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七路红外数字量 S1-S7</w:t>
              <w:br/>
              <w:t>双轮正交编码器</w:t>
              <w:br/>
              <w:t>KEY2/KEY3 启停按键</w:t>
              <w:br/>
              <w:t>MPU6050 Z 轴角速度</w:t>
            </w:r>
          </w:p>
        </w:tc>
        <w:tc>
          <w:tcPr>
            <w:tcW w:type="dxa" w:w="3325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spacing w:lineRule="exact" w:line="3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 ms 周期调度</w:t>
              <w:br/>
              <w:t>加权质心路径识别</w:t>
              <w:br/>
              <w:t>循迹 PID 与陀螺阻尼</w:t>
              <w:br/>
              <w:t>左右轮速度 PID</w:t>
              <w:br/>
              <w:t>比赛状态机与里程速度规划</w:t>
            </w:r>
          </w:p>
        </w:tc>
        <w:tc>
          <w:tcPr>
            <w:tcW w:type="dxa" w:w="2817"/>
            <w:vAlign w:val="center"/>
            <w:tcBorders>
              <w:top w:val="single" w:sz="6" w:color="666666"/>
              <w:left w:val="single" w:sz="6" w:color="666666"/>
              <w:bottom w:val="single" w:sz="6" w:color="666666"/>
              <w:right w:val="single" w:sz="6" w:color="666666"/>
              <w:insideH w:val="single" w:sz="6" w:color="666666"/>
              <w:insideV w:val="single" w:sz="6" w:color="666666"/>
            </w:tcBorders>
            <w:tcMar>
              <w:top w:w="120" w:type="dxa"/>
              <w:bottom w:w="120" w:type="dxa"/>
              <w:start w:w="110" w:type="dxa"/>
              <w:end w:w="110" w:type="dxa"/>
            </w:tcMar>
          </w:tcPr>
          <w:p>
            <w:pPr>
              <w:spacing w:lineRule="exact" w:line="340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TB6612FNG 双路驱动</w:t>
              <w:br/>
              <w:t>TIMA0 双通道 PWM</w:t>
              <w:br/>
              <w:t>差速转向与短刹车</w:t>
              <w:br/>
              <w:t>OLED 时间/圈次/里程显示</w:t>
              <w:br/>
              <w:t>预留 UART 调参遥测</w:t>
            </w:r>
          </w:p>
        </w:tc>
      </w:tr>
    </w:tbl>
    <w:p>
      <w:pPr>
        <w:spacing w:lineRule="exact" w:line="360" w:after="60"/>
        <w:ind w:firstLine="0"/>
        <w:jc w:val="center"/>
      </w:pPr>
      <w:r>
        <w:rPr>
          <w:rFonts w:ascii="Times New Roman" w:hAnsi="Times New Roman" w:eastAsia="宋体"/>
          <w:sz w:val="21"/>
        </w:rPr>
        <w:t>图1  循迹控制与底盘模块工作链路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每个控制周期首先更新双轮编码器增量并并行采样七路循迹状态；随后计算轨迹偏差、识别启停线和任务状态，根据加速、巡航、减速阶段给出基准速度，再由循迹外环生成左右轮目标计数；两侧速度PID据此计算PWM，最后通过H桥方向端和PWM端输出到电机。前台任务以控制节拍为时间基准完成MPU6050采样、OLED刷新、按键服务和圈时记录，主循环空闲时进入低功耗等待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3、关键配置参数</w:t>
      </w:r>
    </w:p>
    <w:p>
      <w:pPr>
        <w:spacing w:lineRule="exact" w:line="3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表2  运行配置与控制参数</w:t>
      </w:r>
    </w:p>
    <w:tbl>
      <w:tblPr>
        <w:tblStyle w:val="TableGrid"/>
        <w:tblW w:type="dxa" w:w="898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87"/>
        <w:gridCol w:w="1963"/>
        <w:gridCol w:w="2914"/>
        <w:gridCol w:w="2616"/>
      </w:tblGrid>
      <w:tr>
        <w:trPr>
          <w:tblHeader w:val="true"/>
        </w:trPr>
        <w:tc>
          <w:tcPr>
            <w:tcW w:type="dxa" w:w="1487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类别</w:t>
            </w:r>
          </w:p>
        </w:tc>
        <w:tc>
          <w:tcPr>
            <w:tcW w:type="dxa" w:w="1963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914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取值</w:t>
            </w:r>
          </w:p>
        </w:tc>
        <w:tc>
          <w:tcPr>
            <w:tcW w:type="dxa" w:w="2616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主控与时基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系统时钟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32 MHz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SysConfig实际配置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主控与时基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控制周期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 ms（100 Hz）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TIMG12周期中断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循迹传感器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通道及引脚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S1-S7：PB12-PB18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GPIO输入上拉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循迹传感器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有效极性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高电平有效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支持软件切换低有效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循迹算法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S1-S7权值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+50、+33、+16、0、-16、-33、-50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加权质心偏差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循迹算法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外环PID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Kp=0.9，Ki=0.05，Kd=0.2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输出限幅±30计数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循迹算法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陀螺阻尼系数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0.04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作用于Z轴角速度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速度内环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左轮PID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Kp=180，Ki=0.35，Kd=26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运行时最终赋值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速度内环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右轮PID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Kp=180，Ki=0.28，Kd=18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运行时最终赋值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速度内环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PID/PWM限幅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±3199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PWM计数0-3199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PWM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定时器与周期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TIMA0，3200计数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32 MHz、预分频1，约10 kHz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速度规划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加速时间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130周期（1.30 s）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Smoothstep平滑加速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速度规划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巡航目标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31计数/10 ms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标定推算约0.431 m/s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速度规划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减速区间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圈进度86.0%-97.0%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按圈长标定平滑减速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速度规划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末段目标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11计数/10 ms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标定推算约0.153 m/s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圈长标定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左右轮每圈计数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49712 / 39741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5次整圈中值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起终点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离开A点确认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5周期（50 ms）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普通轨迹连续确认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起终点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终点确认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2周期（20 ms）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S3-S5同时有效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起终点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最短运行保护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100周期（1.0 s）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防止起点立即误判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按键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消抖时间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3周期（30 ms）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KEY2/KEY3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MPU6050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接口与量程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I2C1 100 kHz，±250 °/s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灵敏度131 LSB/(°/s)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MPU6050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滤波与校准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α=0.30，64点零偏校准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每10 ms更新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显示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OLED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SSD1306，128×64，0x3C/0x3D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GPIO模拟I2C</w:t>
            </w:r>
          </w:p>
        </w:tc>
      </w:tr>
      <w:tr>
        <w:trPr>
          <w:cantSplit/>
        </w:trPr>
        <w:tc>
          <w:tcPr>
            <w:tcW w:type="dxa" w:w="14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调试接口</w:t>
            </w:r>
          </w:p>
        </w:tc>
        <w:tc>
          <w:tcPr>
            <w:tcW w:type="dxa" w:w="196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UART1</w:t>
            </w:r>
          </w:p>
        </w:tc>
        <w:tc>
          <w:tcPr>
            <w:tcW w:type="dxa" w:w="29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9600-8-N-1，PA8/PA9</w:t>
            </w:r>
          </w:p>
        </w:tc>
        <w:tc>
          <w:tcPr>
            <w:tcW w:type="dxa" w:w="261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当前比赛主程序未启用</w:t>
            </w:r>
          </w:p>
        </w:tc>
      </w:tr>
    </w:tbl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依据赛题轨道中心线长度3+π≈6.142 m及左右轮每圈计数标定，巡航目标31计数/10 ms对应名义车速约0.431 m/s。若按程序中的1.30 s平滑加速、86%-97%区间减速和末段低速策略进行离散推算，标称单圈时间约16.7 s，理论上满足20 s限时要求。该值属于基于现有标定的设计推算，最终报告仍应以场地实测圈时为准。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4、模块接口、数据协议与交互逻辑</w:t>
      </w:r>
    </w:p>
    <w:p>
      <w:pPr>
        <w:spacing w:lineRule="exact" w:line="3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表3  模块接口及数据交互</w:t>
      </w:r>
    </w:p>
    <w:tbl>
      <w:tblPr>
        <w:tblStyle w:val="TableGrid"/>
        <w:tblW w:type="dxa" w:w="898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39"/>
        <w:gridCol w:w="2015"/>
        <w:gridCol w:w="2590"/>
        <w:gridCol w:w="2936"/>
      </w:tblGrid>
      <w:tr>
        <w:trPr>
          <w:tblHeader w:val="true"/>
        </w:trPr>
        <w:tc>
          <w:tcPr>
            <w:tcW w:type="dxa" w:w="1439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对象</w:t>
            </w:r>
          </w:p>
        </w:tc>
        <w:tc>
          <w:tcPr>
            <w:tcW w:type="dxa" w:w="2015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物理接口</w:t>
            </w:r>
          </w:p>
        </w:tc>
        <w:tc>
          <w:tcPr>
            <w:tcW w:type="dxa" w:w="2590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数据/协议</w:t>
            </w:r>
          </w:p>
        </w:tc>
        <w:tc>
          <w:tcPr>
            <w:tcW w:type="dxa" w:w="2936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交互逻辑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七路循迹阵列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S1-S7→PB12-PB18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7位数字并行量；支持高/低有效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每10 ms同步采样，形成active_mask、有效数和偏差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左轮编码器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PB6/PB7→TIMG8 QEI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A/B正交脉冲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硬件计数，每周期读取增量与累计值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右轮编码器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PB10/PB11→GPIO中断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A/B双边沿正交脉冲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16状态转移表软件解码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TB6612FNG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PB8/PB9 PWM；PA7/PA28、PA31/PA21方向；PA22 STBY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双路PWM+方向+使能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速度PID输出带符号PWM，停车可关断或短刹车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MPU6050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PB2/PB3 I2C1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100 kHz寄存器读写；地址0x68/0x69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读取Z轴角速度，零偏校准后低通滤波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OLED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PA0/PA1 GPIO模拟I2C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SSD1306命令/数据帧；0x3C/0x3D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显示时间、圈次、里程；异常后周期性重连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启停按键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KEY2 PB23、KEY3 PB24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低电平按下，30 ms消抖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KEY2单圈起跑；KEY3连续圈起停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平衡控制模块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共享主控状态量或预留UART2/UART3/CAN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建议传递run_state、tick、v_ref、ω_z及故障位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当前仓库未实现独立平衡控制通信协议，集成时需统一时间戳和安全停机条件</w:t>
            </w:r>
          </w:p>
        </w:tc>
      </w:tr>
      <w:tr>
        <w:trPr>
          <w:cantSplit/>
        </w:trPr>
        <w:tc>
          <w:tcPr>
            <w:tcW w:type="dxa" w:w="143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调试上位机</w:t>
            </w:r>
          </w:p>
        </w:tc>
        <w:tc>
          <w:tcPr>
            <w:tcW w:type="dxa" w:w="20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UART1 PA8/PA9</w:t>
            </w:r>
          </w:p>
        </w:tc>
        <w:tc>
          <w:tcPr>
            <w:tcW w:type="dxa" w:w="259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9600-8-N-1；ASCII命令/VOFA float帧</w:t>
            </w:r>
          </w:p>
        </w:tc>
        <w:tc>
          <w:tcPr>
            <w:tcW w:type="dxa" w:w="29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具备PID设定、状态查询和波形遥测；比赛主程序当前注释关闭</w:t>
            </w:r>
          </w:p>
        </w:tc>
      </w:tr>
    </w:tbl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调试固件支持以换行结束的ASCII命令设置循迹PID、左右轮PID、基准速度和MPU6050校准，也支持VOFA+二进制浮点帧，帧尾为00 00 80 7F，可上传路径偏差、修正量、左右轮目标与实测速度、PWM和角速度。正式比赛主程序将UART调试初始化和任务调用注释关闭，由KEY2/KEY3独占车辆启停控制，避免无线指令对自主运行造成干扰。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5、硬件电路设计要点与异常处理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电机电源与MCU逻辑电源分开供电并可靠共地，电机端就近配置储能与高频去耦，动力线远离循迹、编码器和I2C信号线；所有进入MSPM0G3507的信号电压不得超过3.3 V。TB6612FNG的STBY由主控独立控制，未运行时拉低关断驱动；终点采用双桥短路制动以缩短停车距离。左右PWM由同一TIMA0计时基准产生，避免频率差导致的系统性偏航。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七路循迹输入配置内部上拉，模块安装时应保持探头高度一致、横向阵列与车轴平行，并设置遮光结构。赛前在实际广告布上确认有效极性和比较阈值。左、右编码器分别采用硬件QEI和软件正交解码，并通过方向反相参数统一前进计数符号；圈进度由左右主动轮独立标定后取平均，降低轮径差、减速比差异和轻微打滑造成的偏差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脱线时，当前配置立即将左右目标速度和PWM清零，同时复位循迹及速度PID，避免沿最后一次偏差盲目冲出赛道。启停线通过中心三通道组合、最短运行时间和连续周期确认抑制误判。MPU6050初始化会轮询0x68和0x69地址并校验WHO_AM_I，I2C读写具有超时、错误检查、FIFO清理和控制器复位；传感器失效时角速度输出清零，不阻断基本循迹。OLED采用开漏模拟I2C，支持9个恢复时钟、SCL拉伸超时和0x3C/0x3D双地址探测，离线后每500 ms尝试恢复，显示故障不会影响底盘闭环。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底层直角辅助包含特征连续确认、驶近、离开原轨迹、寻找新轨迹、恢复及冷却等状态，并对编码器停滞、双轮计数失配、超时和陀螺累计角度设置安全停机策略；然而H题标准环形路线仅含连续半圆弯道，上层任务初始化时关闭该辅助，当前比赛流程不依赖直角状态机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sz w:val="32"/>
        </w:rPr>
        <w:t>四、模块性能指标与测试结论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1、核心性能指标</w:t>
      </w:r>
    </w:p>
    <w:p>
      <w:pPr>
        <w:spacing w:lineRule="exact" w:line="360" w:after="60"/>
        <w:ind w:firstLine="0"/>
        <w:jc w:val="center"/>
      </w:pPr>
      <w:r>
        <w:rPr>
          <w:rFonts w:ascii="Times New Roman" w:hAnsi="Times New Roman" w:eastAsia="宋体"/>
          <w:sz w:val="21"/>
        </w:rPr>
        <w:t>表4  模块设计指标与证据边界</w:t>
      </w:r>
    </w:p>
    <w:tbl>
      <w:tblPr>
        <w:tblStyle w:val="TableGrid"/>
        <w:tblW w:type="dxa" w:w="898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643"/>
        <w:gridCol w:w="2524"/>
        <w:gridCol w:w="3111"/>
        <w:gridCol w:w="1702"/>
      </w:tblGrid>
      <w:tr>
        <w:trPr>
          <w:tblHeader w:val="true"/>
        </w:trPr>
        <w:tc>
          <w:tcPr>
            <w:tcW w:type="dxa" w:w="1643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2524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数值/能力</w:t>
            </w:r>
          </w:p>
        </w:tc>
        <w:tc>
          <w:tcPr>
            <w:tcW w:type="dxa" w:w="3111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  <w:tc>
          <w:tcPr>
            <w:tcW w:type="dxa" w:w="1702"/>
            <w:vAlign w:val="center"/>
            <w:shd w:fill="D9D9D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结论状态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循迹更新率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100 Hz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TIMG12 10 ms固定周期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路径位置分辨能力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7级空间采样，误差量化范围-50～+50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七路权值与多通道质心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轨道适应性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1.8±0.2 cm黑线；0.5 m半径半圆弯道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检测宽度与差速结构满足赛题几何条件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需实车验收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巡航名义速度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约0.431 m/s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31计数/10 ms与每圈计数标定推算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设计推算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末段名义速度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约0.153 m/s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11计数/10 ms与标定推算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设计推算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理论单圈时间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约16.7 s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按实际速度曲线离散推算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设计推算，目标≤20 s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停车控制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终点识别后短路制动；赛题目标偏差≤2 cm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S3-S5确认+Brake Hold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偏差需场地实测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脱线安全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1个控制周期内撤销驱动命令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line_lost_stop=1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计时分辨率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0.01 s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10 ms节拍换算为百分秒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弯道扩展能力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直角/路口状态机、陀螺限角与2.5 s超时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底层已实现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当前H题配置关闭</w:t>
            </w:r>
          </w:p>
        </w:tc>
      </w:tr>
      <w:tr>
        <w:trPr>
          <w:cantSplit/>
        </w:trPr>
        <w:tc>
          <w:tcPr>
            <w:tcW w:type="dxa" w:w="164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程序资源占用</w:t>
            </w:r>
          </w:p>
        </w:tc>
        <w:tc>
          <w:tcPr>
            <w:tcW w:type="dxa" w:w="25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Flash 22344 B（17.05%）；SRAM 4507 B（13.75%）</w:t>
            </w:r>
          </w:p>
        </w:tc>
        <w:tc>
          <w:tcPr>
            <w:tcW w:type="dxa" w:w="311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最新链接映射</w:t>
            </w:r>
          </w:p>
        </w:tc>
        <w:tc>
          <w:tcPr>
            <w:tcW w:type="dxa" w:w="17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已验证</w:t>
            </w:r>
          </w:p>
        </w:tc>
      </w:tr>
    </w:tbl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2、测试验证方法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（1）静态循迹检测测试。</w:t>
      </w:r>
      <w:r>
        <w:rPr>
          <w:rFonts w:ascii="Times New Roman" w:hAnsi="Times New Roman" w:eastAsia="宋体"/>
          <w:sz w:val="24"/>
        </w:rPr>
        <w:t>在白底、黑线和启停线位置横向移动车辆，记录S1-S7组合、加权偏差和有效通道数，验证偏差符号、中心三通道识别、有效极性和脱线判据；同时改变环境光与探头高度，确定可靠阈值和安装高度。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（2）单轮与左右主动轮速度闭环测试。</w:t>
      </w:r>
      <w:r>
        <w:rPr>
          <w:rFonts w:ascii="Times New Roman" w:hAnsi="Times New Roman" w:eastAsia="宋体"/>
          <w:sz w:val="24"/>
        </w:rPr>
        <w:t>架空车轮分别施加阶跃和斜坡目标，利用编码器实测每10 ms计数、PWM和误差，检查左右轮方向、计数符号、稳态误差和积分饱和；落地后进行直线等速试验，验证左右轮参数补偿效果。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（3）整圈循迹与停车测试。</w:t>
      </w:r>
      <w:r>
        <w:rPr>
          <w:rFonts w:ascii="Times New Roman" w:hAnsi="Times New Roman" w:eastAsia="宋体"/>
          <w:sz w:val="24"/>
        </w:rPr>
        <w:t>按赛题尺寸布置1.8±0.2 cm黑色环线，以KEY2启动，使用车载OLED与外部录像同步记录至少10次单圈时间、是否脱线、终点制动距离和指定测试点相对基准虚线的停车偏差；分别统计平均值、最大值和成功率。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（4）抗扰与协同测试。</w:t>
      </w:r>
      <w:r>
        <w:rPr>
          <w:rFonts w:ascii="Times New Roman" w:hAnsi="Times New Roman" w:eastAsia="宋体"/>
          <w:sz w:val="24"/>
        </w:rPr>
        <w:t>在安装摆杆、钢球和图传装置的完整载荷条件下重复直线、半圆弯道和整圈测试，评估质心升高、电池电压下降及滚球控制动作对循迹的影响；同时模拟MPU6050或OLED掉线，确认底盘基本循迹与安全停机不受非关键外设故障影响。</w:t>
      </w:r>
    </w:p>
    <w:p>
      <w:pPr>
        <w:pStyle w:val="Heading2"/>
        <w:keepNext/>
      </w:pPr>
      <w:r>
        <w:rPr>
          <w:rFonts w:ascii="Times New Roman" w:hAnsi="Times New Roman" w:eastAsia="黑体"/>
          <w:b/>
          <w:sz w:val="28"/>
        </w:rPr>
        <w:t>3、测试结论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代码、SysConfig、原理图与构建产物核验表明，本模块已形成完整的信号采集、路径判断、串级闭环、速度规划、起终点状态机、制动和故障降级链路。当前工程能够正常完成增量构建，最新链接结果显示Flash和SRAM占用均低于20%，控制周期、接口分配及主要保护逻辑具有明确实现依据。基于五次整圈编码器中值标定和既定速度曲线，理论单圈时间约16.7 s，具备满足赛题20 s限时的设计余量。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但项目仓库未保存实际轮径、轮距、传感器间距、具体减速电机型号，以及规范化的实车圈时、停车偏差、循迹横向误差和成功率记录。因此，现阶段可以确认模块的软件与接口设计满足功能要求，并具备达到赛题指标的理论条件；对于“最高实测速度、停车偏差≤2 cm、整圈≤20 s、弯道成功率”等量化验收项，必须补充按上述方案获取的实测数据后，方可正式判定全部性能指标满足设计要求。</w:t>
      </w:r>
    </w:p>
    <w:p>
      <w:pPr>
        <w:spacing w:lineRule="exact" w:line="440"/>
        <w:ind w:firstLine="480"/>
        <w:jc w:val="both"/>
      </w:pPr>
      <w:r>
        <w:rPr>
          <w:rFonts w:ascii="Times New Roman" w:hAnsi="Times New Roman" w:eastAsia="宋体"/>
          <w:sz w:val="24"/>
        </w:rPr>
        <w:t>建议最终报告至少填写10次单圈测试数据，并给出单圈时间最大值、平均值、停车偏差最大值、脱线次数和成功率。若全部测试均满足单圈时间不大于20 s、停车偏差不大于2 cm且车辆投影不完全脱离轨迹，则可形成“循迹与底盘模块满足H题小车运动要求”的最终验收结论。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417" w:left="1417" w:header="85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440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Rule="exact" w:line="44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 w:lineRule="exact" w:line="44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0" w:lineRule="exact" w:line="44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循迹控制与底盘模块设计报告技术内容</dc:title>
  <dc:subject>2026年全国大学生电子设计竞赛H题</dc:subject>
  <dc:creator/>
  <cp:keywords>循迹控制, 差速底盘, MSPM0G3507, 七路红外, 编码器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