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jc w:val="center"/>
      </w:pPr>
      <w:r>
        <w:rPr>
          <w:rFonts w:ascii="Times New Roman" w:hAnsi="Times New Roman" w:eastAsia="黑体"/>
          <w:b/>
          <w:sz w:val="48"/>
        </w:rPr>
        <w:t>视觉识别与钢球位置测量模块设计</w:t>
      </w:r>
    </w:p>
    <w:p>
      <w:pPr>
        <w:spacing w:before="400"/>
        <w:jc w:val="center"/>
      </w:pPr>
      <w:r>
        <w:rPr>
          <w:rFonts w:ascii="Times New Roman" w:hAnsi="Times New Roman" w:eastAsia="黑体"/>
          <w:b/>
          <w:color w:val="1F4E79"/>
          <w:sz w:val="32"/>
        </w:rPr>
        <w:t>车载平衡滚球运动控制系统</w:t>
      </w:r>
    </w:p>
    <w:p>
      <w:pPr>
        <w:spacing w:before="4082"/>
        <w:jc w:val="center"/>
      </w:pPr>
      <w:r>
        <w:rPr>
          <w:rFonts w:ascii="Times New Roman" w:hAnsi="Times New Roman" w:eastAsia="宋体"/>
          <w:sz w:val="26"/>
        </w:rPr>
        <w:t>电子设计竞赛技术报告</w:t>
      </w:r>
    </w:p>
    <w:p>
      <w:pPr>
        <w:spacing w:before="360"/>
        <w:jc w:val="center"/>
      </w:pPr>
      <w:r>
        <w:rPr>
          <w:rFonts w:ascii="Times New Roman" w:hAnsi="Times New Roman" w:eastAsia="宋体"/>
          <w:sz w:val="22"/>
        </w:rPr>
        <w:t>2026年7月</w:t>
      </w:r>
    </w:p>
    <w:p>
      <w:r>
        <w:br w:type="page"/>
      </w:r>
    </w:p>
    <w:p>
      <w:pPr>
        <w:pStyle w:val="Heading1"/>
      </w:pPr>
      <w:r>
        <w:t>摘  要</w:t>
      </w:r>
    </w:p>
    <w:p>
      <w:pPr>
        <w:pStyle w:val="正文"/>
        <w:keepLines w:val="0"/>
        <w:ind w:firstLine="420"/>
        <w:jc w:val="both"/>
      </w:pPr>
      <w:r>
        <w:rPr>
          <w:rFonts w:ascii="Times New Roman" w:hAnsi="Times New Roman" w:eastAsia="宋体"/>
          <w:sz w:val="21"/>
        </w:rPr>
        <w:t>本模块面向车载平衡滚球运动控制系统的实时状态感知需求，完成摆杆端点识别、摆杆几何重建、钢球检测、位置与速度估计、有效性判定以及控制数据输出。针对车辆运动、摆杆转动、视角变化和环境光扰动导致固定感兴趣区域失效的问题，系统采用“动态端点标记定位—摆杆坐标系重建—透视归一化—空槽参考差分与暗体特征融合—Alpha-Beta跟踪”的技术路线，将二维非稳定场景转换为固定尺寸的一维测量问题。</w:t>
      </w:r>
    </w:p>
    <w:p>
      <w:pPr>
        <w:pStyle w:val="正文"/>
        <w:keepLines w:val="0"/>
        <w:ind w:firstLine="420"/>
        <w:jc w:val="both"/>
      </w:pPr>
      <w:r>
        <w:rPr>
          <w:rFonts w:ascii="Times New Roman" w:hAnsi="Times New Roman" w:eastAsia="宋体"/>
          <w:sz w:val="21"/>
        </w:rPr>
        <w:t>模块以树莓派5为边缘运算平台，输入为640×480、60帧/s的MJPG视频流，归一化条带尺寸为800×64。识别结果经USB CDC虚拟串口以50 Hz固定周期发送至摆杆控制单片机，数据帧包含位置、速度、置信度、状态码、序号、时间戳和CRC校验。系统对端点短时丢失、钢球短时漏检、几何异常、串口断开、参考图失配和显示阻塞等情况设置了分级容错及安全失效机制。</w:t>
      </w:r>
    </w:p>
    <w:p>
      <w:pPr>
        <w:pStyle w:val="正文"/>
        <w:keepLines w:val="0"/>
        <w:ind w:firstLine="420"/>
        <w:jc w:val="both"/>
      </w:pPr>
      <w:r>
        <w:rPr>
          <w:rFonts w:ascii="Times New Roman" w:hAnsi="Times New Roman" w:eastAsia="宋体"/>
          <w:sz w:val="21"/>
        </w:rPr>
        <w:t>截至2026年7月31日，软件单元与功能测试共211项全部通过；树莓派原始相机连续采集30.10 s共1807帧，平均60.02帧/s且读取失败为0；完整视觉链路稳定运行约55～58帧/s。与当前参考图匹配的六组离线素材中，三组空槽共527帧未产生候选误检，三组带球共975帧实现100%候选覆盖，摆杆检测率为100%。上述结果证明模块的软件功能、实时性和候选检测稳定性满足当前设计阶段要求。候选覆盖率不等同于经人工逐帧标注得到的严格识别准确率，实际位置误差、车辆振动条件下的闭环效果及无线图传最终实机验收仍需在整机联调阶段进一步验证。</w:t>
      </w:r>
    </w:p>
    <w:p>
      <w:pPr>
        <w:spacing w:before="200"/>
      </w:pPr>
      <w:r>
        <w:rPr>
          <w:rFonts w:ascii="Times New Roman" w:hAnsi="Times New Roman" w:eastAsia="黑体"/>
          <w:b/>
          <w:sz w:val="21"/>
        </w:rPr>
        <w:t>关键词：</w:t>
      </w:r>
      <w:r>
        <w:rPr>
          <w:rFonts w:ascii="Times New Roman" w:hAnsi="Times New Roman" w:eastAsia="宋体"/>
          <w:sz w:val="21"/>
        </w:rPr>
        <w:t>动态端点标记；透视归一化；空槽参考差分；钢球定位；Alpha-Beta跟踪；USB CDC</w:t>
      </w:r>
    </w:p>
    <w:p>
      <w:pPr>
        <w:pStyle w:val="Heading2"/>
      </w:pPr>
      <w:r>
        <w:t>设计依据与适用范围</w:t>
      </w:r>
    </w:p>
    <w:p>
      <w:pPr>
        <w:pStyle w:val="正文"/>
        <w:keepLines w:val="0"/>
        <w:ind w:firstLine="420"/>
        <w:jc w:val="both"/>
      </w:pPr>
      <w:r>
        <w:rPr>
          <w:rFonts w:ascii="Times New Roman" w:hAnsi="Times New Roman" w:eastAsia="宋体"/>
          <w:sz w:val="21"/>
        </w:rPr>
        <w:t>本文依据项目正式运行配置、动态标定文件、通信协议、离线评估结果和树莓派实测记录编制。正式竞赛运行路径采用动态标记模式；固定透视、绿色管道识别及手持调试程序仅作为早期验证、兼容或诊断手段，不作为最终功能指标的主要依据。模块的功能界面以视觉测量与可靠数据输出为止，不对摆杆执行机构的闭环控制性能作超出实测证据范围的结论。</w:t>
      </w:r>
    </w:p>
    <w:p>
      <w:pPr>
        <w:pStyle w:val="Heading1"/>
        <w:pageBreakBefore/>
      </w:pPr>
      <w:r>
        <w:t>一、模块方案论证与选型</w:t>
      </w:r>
    </w:p>
    <w:p>
      <w:pPr>
        <w:pStyle w:val="Heading2"/>
      </w:pPr>
      <w:r>
        <w:t>1.1 模块设计需求分析</w:t>
      </w:r>
    </w:p>
    <w:p>
      <w:pPr>
        <w:pStyle w:val="正文"/>
        <w:keepLines w:val="0"/>
        <w:ind w:firstLine="420"/>
        <w:jc w:val="both"/>
      </w:pPr>
      <w:r>
        <w:rPr>
          <w:rFonts w:ascii="Times New Roman" w:hAnsi="Times New Roman" w:eastAsia="宋体"/>
          <w:sz w:val="21"/>
        </w:rPr>
        <w:t>本系统需要在车辆运行和摆杆动态调节过程中，连续测量钢球沿管道有效行程的位置，并向摆杆控制器提供可用于实时控制的位置、速度和有效性信息。视觉场景具有摆杆角度变化、相机与机构相对振动、目标尺寸较小、白色管道纹理弱、钢球与背景亮度对比随光照变化而波动等特点。因此，方案必须同时满足实时性、几何自适应性、空槽低误检、短时遮挡容错、嵌入式可部署以及通信安全性等要求。</w:t>
      </w:r>
    </w:p>
    <w:p>
      <w:pPr>
        <w:pStyle w:val="正文"/>
        <w:ind w:left="420" w:hanging="420"/>
        <w:jc w:val="both"/>
      </w:pPr>
      <w:r>
        <w:rPr>
          <w:rFonts w:ascii="Times New Roman" w:hAnsi="Times New Roman" w:eastAsia="宋体"/>
          <w:b/>
          <w:sz w:val="21"/>
        </w:rPr>
        <w:t>（1）</w:t>
      </w:r>
      <w:r>
        <w:rPr>
          <w:rFonts w:ascii="Times New Roman" w:hAnsi="Times New Roman" w:eastAsia="宋体"/>
          <w:sz w:val="21"/>
        </w:rPr>
        <w:t>实时性要求。图像采集频率目标为60帧/s，完整处理链路应保留足够控制带宽，并避免显示、录像和图传阻塞识别主线程。</w:t>
      </w:r>
    </w:p>
    <w:p>
      <w:pPr>
        <w:pStyle w:val="正文"/>
        <w:ind w:left="420" w:hanging="420"/>
        <w:jc w:val="both"/>
      </w:pPr>
      <w:r>
        <w:rPr>
          <w:rFonts w:ascii="Times New Roman" w:hAnsi="Times New Roman" w:eastAsia="宋体"/>
          <w:b/>
          <w:sz w:val="21"/>
        </w:rPr>
        <w:t>（2）</w:t>
      </w:r>
      <w:r>
        <w:rPr>
          <w:rFonts w:ascii="Times New Roman" w:hAnsi="Times New Roman" w:eastAsia="宋体"/>
          <w:sz w:val="21"/>
        </w:rPr>
        <w:t>稳定性要求。摆杆发生平移、转动或小幅透视变化时，检测区域应随机构几何动态更新，不能依赖单一固定矩形区域。</w:t>
      </w:r>
    </w:p>
    <w:p>
      <w:pPr>
        <w:pStyle w:val="正文"/>
        <w:ind w:left="420" w:hanging="420"/>
        <w:jc w:val="both"/>
      </w:pPr>
      <w:r>
        <w:rPr>
          <w:rFonts w:ascii="Times New Roman" w:hAnsi="Times New Roman" w:eastAsia="宋体"/>
          <w:b/>
          <w:sz w:val="21"/>
        </w:rPr>
        <w:t>（3）</w:t>
      </w:r>
      <w:r>
        <w:rPr>
          <w:rFonts w:ascii="Times New Roman" w:hAnsi="Times New Roman" w:eastAsia="宋体"/>
          <w:sz w:val="21"/>
        </w:rPr>
        <w:t>可靠性要求。空槽场景应抑制结构纹理和反光造成的误检；目标短时丢失时允许有限预测，但超过容错时限必须输出失效状态。</w:t>
      </w:r>
    </w:p>
    <w:p>
      <w:pPr>
        <w:pStyle w:val="正文"/>
        <w:ind w:left="420" w:hanging="420"/>
        <w:jc w:val="both"/>
      </w:pPr>
      <w:r>
        <w:rPr>
          <w:rFonts w:ascii="Times New Roman" w:hAnsi="Times New Roman" w:eastAsia="宋体"/>
          <w:b/>
          <w:sz w:val="21"/>
        </w:rPr>
        <w:t>（4）</w:t>
      </w:r>
      <w:r>
        <w:rPr>
          <w:rFonts w:ascii="Times New Roman" w:hAnsi="Times New Roman" w:eastAsia="宋体"/>
          <w:sz w:val="21"/>
        </w:rPr>
        <w:t>工程适配要求。算法应在树莓派5上以CPU实时运行，标定、阈值和接口参数可配置，输出协议便于单片机稳定解析。</w:t>
      </w:r>
    </w:p>
    <w:p>
      <w:pPr>
        <w:pStyle w:val="Heading2"/>
      </w:pPr>
      <w:r>
        <w:t>1.2 方案一：固定感兴趣区域与固定透视变换方案</w:t>
      </w:r>
    </w:p>
    <w:p>
      <w:pPr>
        <w:pStyle w:val="正文"/>
        <w:keepLines w:val="0"/>
        <w:ind w:firstLine="420"/>
        <w:jc w:val="both"/>
      </w:pPr>
      <w:r>
        <w:rPr>
          <w:rFonts w:ascii="Times New Roman" w:hAnsi="Times New Roman" w:eastAsia="宋体"/>
          <w:sz w:val="21"/>
        </w:rPr>
        <w:t>该方案在相机安装完成后，人工确定管道四角或固定矩形区域，预先计算单应性矩阵，将每帧图像映射到固定条带，再利用灰度阈值、轮廓或背景差分检测钢球。其本质是以相机与管道几何关系恒定为前提，将二维目标检测转化为条带内的一维定位。</w:t>
      </w:r>
    </w:p>
    <w:p>
      <w:pPr>
        <w:pStyle w:val="正文"/>
        <w:keepLines w:val="0"/>
        <w:ind w:firstLine="420"/>
        <w:jc w:val="both"/>
      </w:pPr>
      <w:r>
        <w:rPr>
          <w:rFonts w:ascii="Times New Roman" w:hAnsi="Times New Roman" w:eastAsia="宋体"/>
          <w:sz w:val="21"/>
        </w:rPr>
        <w:t>方案优点是结构简单、计算量小、标定流程直观，在相机与管道完全刚性固定且姿态变化很小时能够获得较高帧率；同时算法参数少，便于快速实现。其缺点是固定感兴趣区域无法适应摆杆转动和车辆振动，一旦管道偏离预设区域，条带内容会发生截断或背景侵入，进而导致位置映射失真。重新安装相机后通常需要重新标定，长期运行的几何鲁棒性不足。</w:t>
      </w:r>
    </w:p>
    <w:p>
      <w:pPr>
        <w:pStyle w:val="Heading2"/>
      </w:pPr>
      <w:r>
        <w:t>1.3 方案二：基于深度学习目标检测的方案</w:t>
      </w:r>
    </w:p>
    <w:p>
      <w:pPr>
        <w:pStyle w:val="正文"/>
        <w:keepLines w:val="0"/>
        <w:ind w:firstLine="420"/>
        <w:jc w:val="both"/>
      </w:pPr>
      <w:r>
        <w:rPr>
          <w:rFonts w:ascii="Times New Roman" w:hAnsi="Times New Roman" w:eastAsia="宋体"/>
          <w:sz w:val="21"/>
        </w:rPr>
        <w:t>该方案使用YOLO等卷积神经网络对钢球、端点或管道进行目标检测，通过检测框中心建立位置关系。若进一步采用实例分割或关键点模型，还可直接提取管道轮廓与端点。其优势是特征表达能力强，对复杂背景、局部遮挡和一定范围的外观变化具有较好的适应能力；完成充足数据标注和训练后，可将多个目标类别统一到同一推理框架。</w:t>
      </w:r>
    </w:p>
    <w:p>
      <w:pPr>
        <w:pStyle w:val="正文"/>
        <w:keepLines w:val="0"/>
        <w:ind w:firstLine="420"/>
        <w:jc w:val="both"/>
      </w:pPr>
      <w:r>
        <w:rPr>
          <w:rFonts w:ascii="Times New Roman" w:hAnsi="Times New Roman" w:eastAsia="宋体"/>
          <w:sz w:val="21"/>
        </w:rPr>
        <w:t>该方案的主要不足是需要采集并标注覆盖不同角度、光照、反光、速度和车辆振动状态的数据集，训练结果受样本分布影响明显；在树莓派CPU上直接运行高分辨率网络会占用较多算力和内存，引入模型转换、量化和运行时兼容问题。检测框中心还不等同于严格的轴向物理位置，仍需完成端点几何约束和标定换算。对于颜色与结构相对可控、目标运动受限的一维测量任务，完整深度学习方案的工程复杂度高于实际需要。</w:t>
      </w:r>
    </w:p>
    <w:p>
      <w:pPr>
        <w:pStyle w:val="Heading2"/>
      </w:pPr>
      <w:r>
        <w:t>1.4 方案三：动态端点标记、透视归一化与一维特征检测方案</w:t>
      </w:r>
    </w:p>
    <w:p>
      <w:pPr>
        <w:pStyle w:val="正文"/>
        <w:keepLines w:val="0"/>
        <w:ind w:firstLine="420"/>
        <w:jc w:val="both"/>
      </w:pPr>
      <w:r>
        <w:rPr>
          <w:rFonts w:ascii="Times New Roman" w:hAnsi="Times New Roman" w:eastAsia="宋体"/>
          <w:sz w:val="21"/>
        </w:rPr>
        <w:t>该方案在摆杆两端布置具有明确几何关系的标记，每帧先识别左端单点和右端双点，动态计算摆杆方向、长度和法向量，随后沿摆杆轴线重建固定尺寸条带。条带内综合使用空槽参考差分、梯度差分和局部暗体响应寻找钢球候选，并通过几何范围、峰宽、暗区比例、连续性和跟踪预测完成筛选。最终将条带坐标反投影至摆杆轴向归一化坐标，再依据有效行程标定换算为实际位置。</w:t>
      </w:r>
    </w:p>
    <w:p>
      <w:pPr>
        <w:pStyle w:val="正文"/>
        <w:keepLines w:val="0"/>
        <w:ind w:firstLine="420"/>
        <w:jc w:val="both"/>
      </w:pPr>
      <w:r>
        <w:rPr>
          <w:rFonts w:ascii="Times New Roman" w:hAnsi="Times New Roman" w:eastAsia="宋体"/>
          <w:sz w:val="21"/>
        </w:rPr>
        <w:t>该方案兼具传统视觉的高实时性和动态几何建模的适应能力。端点标记提供稳定的结构先验，使感兴趣区域可随摆杆运动更新；归一化条带将复杂二维变化压缩为一维峰值搜索，计算量较小；多参考图和局部暗体双路径提升了对照明变化和参考失配的容错能力。缺点是依赖端点标记可见性和初始安装质量，需要设置合理的几何门限，并采集空槽参考图完成标定。</w:t>
      </w:r>
    </w:p>
    <w:p>
      <w:pPr>
        <w:keepNext/>
        <w:jc w:val="center"/>
      </w:pPr>
      <w:r>
        <w:rPr>
          <w:rFonts w:ascii="Times New Roman" w:hAnsi="Times New Roman" w:eastAsia="黑体"/>
          <w:b/>
          <w:sz w:val="21"/>
        </w:rPr>
        <w:t>表1-1 视觉识别技术方案对比</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701"/>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方案</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核心原理</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主要优点</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主要不足</w:t>
            </w:r>
          </w:p>
        </w:tc>
        <w:tc>
          <w:tcPr>
            <w:tcW w:type="dxa" w:w="1814"/>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适用性结论</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7"/>
              </w:rPr>
              <w:t>固定ROI与固定透视</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固定区域映射后进行阈值或差分检测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实现简单、计算量低、调试快速</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不适应摆杆运动与车辆振动，重装后需重新标定</w:t>
            </w:r>
          </w:p>
        </w:tc>
        <w:tc>
          <w:tcPr>
            <w:tcW w:type="dxa" w:w="1814"/>
            <w:vAlign w:val="center"/>
            <w:tcMar>
              <w:top w:w="80" w:type="dxa"/>
              <w:start w:w="90" w:type="dxa"/>
              <w:bottom w:w="80" w:type="dxa"/>
              <w:end w:w="90" w:type="dxa"/>
            </w:tcMar>
          </w:tcPr>
          <w:p>
            <w:pPr>
              <w:spacing w:after="0" w:before="0"/>
              <w:jc w:val="left"/>
            </w:pPr>
            <w:r>
              <w:rPr>
                <w:rFonts w:ascii="Times New Roman" w:hAnsi="Times New Roman" w:eastAsia="宋体"/>
                <w:sz w:val="17"/>
              </w:rPr>
              <w:t>仅适合静态验证，不作为正式方案</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7"/>
              </w:rPr>
              <w:t>深度学习检测/分割</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神经网络直接学习目标或关键点特征</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复杂背景适应性强，可统一多目标识别</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数据标注和训练成本高，树莓派部署负担较大，仍需几何标定</w:t>
            </w:r>
          </w:p>
        </w:tc>
        <w:tc>
          <w:tcPr>
            <w:tcW w:type="dxa" w:w="1814"/>
            <w:vAlign w:val="center"/>
            <w:tcMar>
              <w:top w:w="80" w:type="dxa"/>
              <w:start w:w="90" w:type="dxa"/>
              <w:bottom w:w="80" w:type="dxa"/>
              <w:end w:w="90" w:type="dxa"/>
            </w:tcMar>
          </w:tcPr>
          <w:p>
            <w:pPr>
              <w:spacing w:after="0" w:before="0"/>
              <w:jc w:val="left"/>
            </w:pPr>
            <w:r>
              <w:rPr>
                <w:rFonts w:ascii="Times New Roman" w:hAnsi="Times New Roman" w:eastAsia="宋体"/>
                <w:sz w:val="17"/>
              </w:rPr>
              <w:t>可作为扩展方案，当前任务性价比不足</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7"/>
              </w:rPr>
              <w:t>动态标记+归一化条带</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动态端点重建几何，条带内差分与暗体融合检测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实时性高、几何自适应、参数可解释、易于安全判定</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依赖标记可见性和空槽参考图质量</w:t>
            </w:r>
          </w:p>
        </w:tc>
        <w:tc>
          <w:tcPr>
            <w:tcW w:type="dxa" w:w="1814"/>
            <w:vAlign w:val="center"/>
            <w:tcMar>
              <w:top w:w="80" w:type="dxa"/>
              <w:start w:w="90" w:type="dxa"/>
              <w:bottom w:w="80" w:type="dxa"/>
              <w:end w:w="90" w:type="dxa"/>
            </w:tcMar>
          </w:tcPr>
          <w:p>
            <w:pPr>
              <w:spacing w:after="0" w:before="0"/>
              <w:jc w:val="left"/>
            </w:pPr>
            <w:r>
              <w:rPr>
                <w:rFonts w:ascii="Times New Roman" w:hAnsi="Times New Roman" w:eastAsia="宋体"/>
                <w:sz w:val="17"/>
              </w:rPr>
              <w:t>与本项目需求最匹配，确定为正式方案</w:t>
            </w:r>
          </w:p>
        </w:tc>
      </w:tr>
    </w:tbl>
    <w:p>
      <w:pPr>
        <w:spacing w:after="0"/>
      </w:pPr>
    </w:p>
    <w:p>
      <w:pPr>
        <w:pStyle w:val="正文"/>
        <w:keepLines w:val="0"/>
        <w:ind w:firstLine="420"/>
        <w:jc w:val="both"/>
      </w:pPr>
      <w:r>
        <w:rPr>
          <w:rFonts w:ascii="Times New Roman" w:hAnsi="Times New Roman" w:eastAsia="宋体"/>
          <w:sz w:val="21"/>
        </w:rPr>
        <w:t>综合比较后，最终采用方案三。其关键理由是：本任务目标运动自由度低、结构先验明确，不需要以大规模网络换取通用目标识别能力；动态端点可直接解决固定ROI在运动条件下失效的问题；800×64条带使检测计算量与图像宽度近似线性相关，能够在树莓派5上保持接近相机采集上限的处理速度；所有门限与状态均可解释、可测试，便于竞赛现场快速校准和故障定位。</w:t>
      </w:r>
    </w:p>
    <w:p>
      <w:pPr>
        <w:pStyle w:val="Heading2"/>
      </w:pPr>
      <w:r>
        <w:t>1.5 核心硬件与算法框架选型</w:t>
      </w:r>
    </w:p>
    <w:p>
      <w:pPr>
        <w:pStyle w:val="Heading3"/>
      </w:pPr>
      <w:r>
        <w:t>1.5.1 运算平台选型</w:t>
      </w:r>
    </w:p>
    <w:p>
      <w:pPr>
        <w:pStyle w:val="正文"/>
        <w:keepLines w:val="0"/>
        <w:ind w:firstLine="420"/>
        <w:jc w:val="both"/>
      </w:pPr>
      <w:r>
        <w:rPr>
          <w:rFonts w:ascii="Times New Roman" w:hAnsi="Times New Roman" w:eastAsia="宋体"/>
          <w:sz w:val="21"/>
        </w:rPr>
        <w:t>运算平台选用树莓派5。该平台具备满足60帧/s MJPG采集、OpenCV图像处理、Web预览和USB串口通信的综合接口能力，体积与功耗适合安装于车载系统。相比将全部视觉功能下沉至普通微控制器，树莓派具备更充足的图像处理算力、存储空间和调试能力；相比高功耗GPU平台，本项目采用的传统视觉算法无需专用推理加速器，树莓派5在成本、重量、功耗和开发便利性之间更均衡。</w:t>
      </w:r>
    </w:p>
    <w:p>
      <w:pPr>
        <w:pStyle w:val="Heading3"/>
      </w:pPr>
      <w:r>
        <w:t>1.5.2 相机选型</w:t>
      </w:r>
    </w:p>
    <w:p>
      <w:pPr>
        <w:pStyle w:val="正文"/>
        <w:keepLines w:val="0"/>
        <w:ind w:firstLine="420"/>
        <w:jc w:val="both"/>
      </w:pPr>
      <w:r>
        <w:rPr>
          <w:rFonts w:ascii="Times New Roman" w:hAnsi="Times New Roman" w:eastAsia="宋体"/>
          <w:sz w:val="21"/>
        </w:rPr>
        <w:t>相机采用支持V4L2和MJPG输出的USB摄像头，正式配置设备节点为/dev/video0，采集分辨率640×480，请求帧率60帧/s。MJPG模式降低USB传输带宽压力，V4L2接口可直接设置曝光、亮度、电源频率补偿等参数，并便于在Linux环境中完成设备枚举和稳定性测试。640×480分辨率能够覆盖摆杆端点与钢球细节，同时避免更高分辨率造成的解码和处理负担。</w:t>
      </w:r>
    </w:p>
    <w:p>
      <w:pPr>
        <w:pStyle w:val="Heading3"/>
      </w:pPr>
      <w:r>
        <w:t>1.5.3 软件框架选型</w:t>
      </w:r>
    </w:p>
    <w:p>
      <w:pPr>
        <w:pStyle w:val="正文"/>
        <w:keepLines w:val="0"/>
        <w:ind w:firstLine="420"/>
        <w:jc w:val="both"/>
      </w:pPr>
      <w:r>
        <w:rPr>
          <w:rFonts w:ascii="Times New Roman" w:hAnsi="Times New Roman" w:eastAsia="宋体"/>
          <w:sz w:val="21"/>
        </w:rPr>
        <w:t>软件以Python和OpenCV为主要实现框架，配置采用YAML文件统一管理。OpenCV提供颜色与灰度变换、二值化、轮廓分析、透视采样、滤波和可视化等成熟算子，能够满足本项目的实时传统视觉需求。程序将采集、识别、跟踪、通信、显示、录像和无线图传组织为相互解耦的功能单元，其中显示和输出使用限帧或队列机制，避免非关键任务阻塞核心识别链路。</w:t>
      </w:r>
    </w:p>
    <w:p>
      <w:pPr>
        <w:pStyle w:val="Heading1"/>
        <w:pageBreakBefore/>
      </w:pPr>
      <w:r>
        <w:t>二、模块理论分析与原理</w:t>
      </w:r>
    </w:p>
    <w:p>
      <w:pPr>
        <w:pStyle w:val="Heading2"/>
      </w:pPr>
      <w:r>
        <w:t>2.1 动态端点标记识别原理</w:t>
      </w:r>
    </w:p>
    <w:p>
      <w:pPr>
        <w:pStyle w:val="正文"/>
        <w:keepLines w:val="0"/>
        <w:ind w:firstLine="420"/>
        <w:jc w:val="both"/>
      </w:pPr>
      <w:r>
        <w:rPr>
          <w:rFonts w:ascii="Times New Roman" w:hAnsi="Times New Roman" w:eastAsia="宋体"/>
          <w:sz w:val="21"/>
        </w:rPr>
        <w:t>摆杆左端采用单个白色圆形标记，右端采用两个具有规定间距和近似垂直排列关系的白色标记。系统分别在左右端局部区域内进行亮度阈值分割和连通域分析，根据面积、圆度、长宽比以及外围黑色环带比例筛选候选。左端点由满足约束且与历史位置或参考点最一致的单点确定；右端点首先对候选进行两两组合，再依据点间距离、面积比、连线角度和摆杆总体几何约束选择最优点对，取两点中心作为右端点：</w:t>
      </w:r>
    </w:p>
    <w:p>
      <w:pPr>
        <w:spacing w:before="80" w:after="80"/>
        <w:jc w:val="center"/>
      </w:pPr>
      <w:r>
        <w:rPr>
          <w:rFonts w:ascii="Cambria Math" w:hAnsi="Cambria Math" w:eastAsia="Cambria Math"/>
          <w:sz w:val="23"/>
        </w:rPr>
        <w:t>Pᴿ = (Pᴿ¹ + Pᴿ²) / 2</w:t>
      </w:r>
      <w:r>
        <w:rPr>
          <w:rFonts w:ascii="Times New Roman" w:hAnsi="Times New Roman" w:eastAsia="宋体"/>
          <w:sz w:val="21"/>
        </w:rPr>
        <w:t xml:space="preserve">    （2-1）</w:t>
      </w:r>
    </w:p>
    <w:p>
      <w:pPr>
        <w:pStyle w:val="正文"/>
        <w:keepLines w:val="0"/>
        <w:ind w:firstLine="420"/>
        <w:jc w:val="both"/>
      </w:pPr>
      <w:r>
        <w:rPr>
          <w:rFonts w:ascii="Times New Roman" w:hAnsi="Times New Roman" w:eastAsia="宋体"/>
          <w:sz w:val="21"/>
        </w:rPr>
        <w:t>双点结构能够明显降低单一亮斑或管道反光被误认为右端的概率。黑色环带比例约束进一步利用标记局部结构排除大面积白色背景。端点确定后，还需检查两端距离是否处于430～610像素范围、摆杆角度是否处于−12°～+12°、端点帧间跳变是否不超过35像素。只有同时满足局部外观与全局几何条件，测量几何才被判定为有效。</w:t>
      </w:r>
    </w:p>
    <w:p>
      <w:pPr>
        <w:pStyle w:val="Heading2"/>
      </w:pPr>
      <w:r>
        <w:t>2.2 动态摆杆坐标系建立</w:t>
      </w:r>
    </w:p>
    <w:p>
      <w:pPr>
        <w:pStyle w:val="正文"/>
        <w:keepLines w:val="0"/>
        <w:ind w:firstLine="420"/>
        <w:jc w:val="both"/>
      </w:pPr>
      <w:r>
        <w:rPr>
          <w:rFonts w:ascii="Times New Roman" w:hAnsi="Times New Roman" w:eastAsia="宋体"/>
          <w:sz w:val="21"/>
        </w:rPr>
        <w:t>设左、右端点分别为Pᴸ和Pᴿ，则摆杆方向向量、单位轴向量与单位法向量定义为：</w:t>
      </w:r>
    </w:p>
    <w:p>
      <w:pPr>
        <w:spacing w:before="80" w:after="80"/>
        <w:jc w:val="center"/>
      </w:pPr>
      <w:r>
        <w:rPr>
          <w:rFonts w:ascii="Cambria Math" w:hAnsi="Cambria Math" w:eastAsia="Cambria Math"/>
          <w:sz w:val="23"/>
        </w:rPr>
        <w:t>d = Pᴿ − Pᴸ</w:t>
      </w:r>
      <w:r>
        <w:rPr>
          <w:rFonts w:ascii="Times New Roman" w:hAnsi="Times New Roman" w:eastAsia="宋体"/>
          <w:sz w:val="21"/>
        </w:rPr>
        <w:t xml:space="preserve">    （2-2）</w:t>
      </w:r>
    </w:p>
    <w:p>
      <w:pPr>
        <w:spacing w:before="80" w:after="80"/>
        <w:jc w:val="center"/>
      </w:pPr>
      <w:r>
        <w:rPr>
          <w:rFonts w:ascii="Cambria Math" w:hAnsi="Cambria Math" w:eastAsia="Cambria Math"/>
          <w:sz w:val="23"/>
        </w:rPr>
        <w:t>u = d / ‖d‖</w:t>
      </w:r>
      <w:r>
        <w:rPr>
          <w:rFonts w:ascii="Times New Roman" w:hAnsi="Times New Roman" w:eastAsia="宋体"/>
          <w:sz w:val="21"/>
        </w:rPr>
        <w:t xml:space="preserve">    （2-3）</w:t>
      </w:r>
    </w:p>
    <w:p>
      <w:pPr>
        <w:spacing w:before="80" w:after="80"/>
        <w:jc w:val="center"/>
      </w:pPr>
      <w:r>
        <w:rPr>
          <w:rFonts w:ascii="Cambria Math" w:hAnsi="Cambria Math" w:eastAsia="Cambria Math"/>
          <w:sz w:val="23"/>
        </w:rPr>
        <w:t>n = (−uᵧ, uₓ)</w:t>
      </w:r>
      <w:r>
        <w:rPr>
          <w:rFonts w:ascii="Times New Roman" w:hAnsi="Times New Roman" w:eastAsia="宋体"/>
          <w:sz w:val="21"/>
        </w:rPr>
        <w:t xml:space="preserve">    （2-4）</w:t>
      </w:r>
    </w:p>
    <w:p>
      <w:pPr>
        <w:pStyle w:val="正文"/>
        <w:keepLines w:val="0"/>
        <w:ind w:firstLine="420"/>
        <w:jc w:val="both"/>
      </w:pPr>
      <w:r>
        <w:rPr>
          <w:rFonts w:ascii="Times New Roman" w:hAnsi="Times New Roman" w:eastAsia="宋体"/>
          <w:sz w:val="21"/>
        </w:rPr>
        <w:t>其中u描述钢球沿管道运动的轴向，n描述管道横截面方向。根据标定文件给出的左右内缩量和条带半宽，在原图中构造与摆杆同步移动、旋转的采样四边形。该局部坐标系随每帧端点更新，因此能够抵消摆杆平移、转动和小范围安装偏差对检测区域的影响。</w:t>
      </w:r>
    </w:p>
    <w:p>
      <w:pPr>
        <w:pStyle w:val="Heading2"/>
      </w:pPr>
      <w:r>
        <w:t>2.3 透视归一化原理</w:t>
      </w:r>
    </w:p>
    <w:p>
      <w:pPr>
        <w:pStyle w:val="正文"/>
        <w:keepLines w:val="0"/>
        <w:ind w:firstLine="420"/>
        <w:jc w:val="both"/>
      </w:pPr>
      <w:r>
        <w:rPr>
          <w:rFonts w:ascii="Times New Roman" w:hAnsi="Times New Roman" w:eastAsia="宋体"/>
          <w:sz w:val="21"/>
        </w:rPr>
        <w:t>系统将原图中的动态采样四边形映射为800×64像素的矩形条带。平面单应变换满足：</w:t>
      </w:r>
    </w:p>
    <w:p>
      <w:pPr>
        <w:spacing w:before="80" w:after="80"/>
        <w:jc w:val="center"/>
      </w:pPr>
      <w:r>
        <w:rPr>
          <w:rFonts w:ascii="Cambria Math" w:hAnsi="Cambria Math" w:eastAsia="Cambria Math"/>
          <w:sz w:val="23"/>
        </w:rPr>
        <w:t>λp′ = Hp</w:t>
      </w:r>
      <w:r>
        <w:rPr>
          <w:rFonts w:ascii="Times New Roman" w:hAnsi="Times New Roman" w:eastAsia="宋体"/>
          <w:sz w:val="21"/>
        </w:rPr>
        <w:t xml:space="preserve">    （2-5）</w:t>
      </w:r>
    </w:p>
    <w:p>
      <w:pPr>
        <w:pStyle w:val="正文"/>
        <w:keepLines w:val="0"/>
        <w:ind w:firstLine="420"/>
        <w:jc w:val="both"/>
      </w:pPr>
      <w:r>
        <w:rPr>
          <w:rFonts w:ascii="Times New Roman" w:hAnsi="Times New Roman" w:eastAsia="宋体"/>
          <w:sz w:val="21"/>
        </w:rPr>
        <w:t>式中p为原图齐次坐标，p′为归一化条带坐标，H为由四组对应点求得的3×3单应性矩阵，λ为尺度因子。归一化后，管道轴向固定对应条带水平方向，钢球位置问题由二维搜索转化为一维横坐标估计；管道横向纹理和局部噪声可沿条带高度方向统计，从而提高信噪比并减少计算量。</w:t>
      </w:r>
    </w:p>
    <w:p>
      <w:pPr>
        <w:pStyle w:val="Heading2"/>
      </w:pPr>
      <w:r>
        <w:t>2.4 钢球识别原理</w:t>
      </w:r>
    </w:p>
    <w:p>
      <w:pPr>
        <w:pStyle w:val="Heading3"/>
      </w:pPr>
      <w:r>
        <w:t>2.4.1 局部暗度检测</w:t>
      </w:r>
    </w:p>
    <w:p>
      <w:pPr>
        <w:pStyle w:val="正文"/>
        <w:keepLines w:val="0"/>
        <w:ind w:firstLine="420"/>
        <w:jc w:val="both"/>
      </w:pPr>
      <w:r>
        <w:rPr>
          <w:rFonts w:ascii="Times New Roman" w:hAnsi="Times New Roman" w:eastAsia="宋体"/>
          <w:sz w:val="21"/>
        </w:rPr>
        <w:t>钢球在白色管道条带中通常形成局部暗区域。系统先沿条带高度方向获得灰度横向响应G(x)，再使用大尺度平滑核估计缓慢变化的亮度基线B(x)，定义局部暗度为：</w:t>
      </w:r>
    </w:p>
    <w:p>
      <w:pPr>
        <w:spacing w:before="80" w:after="80"/>
        <w:jc w:val="center"/>
      </w:pPr>
      <w:r>
        <w:rPr>
          <w:rFonts w:ascii="Cambria Math" w:hAnsi="Cambria Math" w:eastAsia="Cambria Math"/>
          <w:sz w:val="23"/>
        </w:rPr>
        <w:t>D(x) = B(x) − G(x)</w:t>
      </w:r>
      <w:r>
        <w:rPr>
          <w:rFonts w:ascii="Times New Roman" w:hAnsi="Times New Roman" w:eastAsia="宋体"/>
          <w:sz w:val="21"/>
        </w:rPr>
        <w:t xml:space="preserve">    （2-6）</w:t>
      </w:r>
    </w:p>
    <w:p>
      <w:pPr>
        <w:pStyle w:val="正文"/>
        <w:keepLines w:val="0"/>
        <w:ind w:firstLine="420"/>
        <w:jc w:val="both"/>
      </w:pPr>
      <w:r>
        <w:rPr>
          <w:rFonts w:ascii="Times New Roman" w:hAnsi="Times New Roman" w:eastAsia="宋体"/>
          <w:sz w:val="21"/>
        </w:rPr>
        <w:t>该方法关注局部相对亮度而非绝对灰度，可减弱整体曝光变化和沿管道缓慢亮度梯度的影响。暗体响应须满足峰值、宽度、边缘排除和局部暗区比例要求，避免将细小噪声、端点结构或管道边缘误认为钢球。</w:t>
      </w:r>
    </w:p>
    <w:p>
      <w:pPr>
        <w:pStyle w:val="Heading3"/>
      </w:pPr>
      <w:r>
        <w:t>2.4.2 空槽参考差分检测</w:t>
      </w:r>
    </w:p>
    <w:p>
      <w:pPr>
        <w:pStyle w:val="正文"/>
        <w:keepLines w:val="0"/>
        <w:ind w:firstLine="420"/>
        <w:jc w:val="both"/>
      </w:pPr>
      <w:r>
        <w:rPr>
          <w:rFonts w:ascii="Times New Roman" w:hAnsi="Times New Roman" w:eastAsia="宋体"/>
          <w:sz w:val="21"/>
        </w:rPr>
        <w:t>为进一步抑制管道固定纹理、接缝与反光，系统保存低位、中位和高位三幅空槽参考条带。当前条带与所选参考图分别计算灰度差分和梯度差分，综合响应为：</w:t>
      </w:r>
    </w:p>
    <w:p>
      <w:pPr>
        <w:spacing w:before="80" w:after="80"/>
        <w:jc w:val="center"/>
      </w:pPr>
      <w:r>
        <w:rPr>
          <w:rFonts w:ascii="Cambria Math" w:hAnsi="Cambria Math" w:eastAsia="Cambria Math"/>
          <w:sz w:val="23"/>
        </w:rPr>
        <w:t>S(x) = w_d D_gray(x) + w_g D_grad(x)</w:t>
      </w:r>
      <w:r>
        <w:rPr>
          <w:rFonts w:ascii="Times New Roman" w:hAnsi="Times New Roman" w:eastAsia="宋体"/>
          <w:sz w:val="21"/>
        </w:rPr>
        <w:t xml:space="preserve">    （2-7）</w:t>
      </w:r>
    </w:p>
    <w:p>
      <w:pPr>
        <w:pStyle w:val="正文"/>
        <w:keepLines w:val="0"/>
        <w:ind w:firstLine="420"/>
        <w:jc w:val="both"/>
      </w:pPr>
      <w:r>
        <w:rPr>
          <w:rFonts w:ascii="Times New Roman" w:hAnsi="Times New Roman" w:eastAsia="宋体"/>
          <w:sz w:val="21"/>
        </w:rPr>
        <w:t>正式配置中灰度差分权重w_d为1.0，梯度差分权重w_g为0.65。灰度差分强调钢球造成的区域亮度变化，梯度差分强调钢球边缘结构，两者融合能够兼顾暗球本体和边界。综合响应经9像素平滑后执行峰值搜索，并使用峰宽8～80像素、搜索半径120像素等约束筛选候选。</w:t>
      </w:r>
    </w:p>
    <w:p>
      <w:pPr>
        <w:pStyle w:val="Heading3"/>
      </w:pPr>
      <w:r>
        <w:t>2.4.3 多参考图选择</w:t>
      </w:r>
    </w:p>
    <w:p>
      <w:pPr>
        <w:pStyle w:val="正文"/>
        <w:keepLines w:val="0"/>
        <w:ind w:firstLine="420"/>
        <w:jc w:val="both"/>
      </w:pPr>
      <w:r>
        <w:rPr>
          <w:rFonts w:ascii="Times New Roman" w:hAnsi="Times New Roman" w:eastAsia="宋体"/>
          <w:sz w:val="21"/>
        </w:rPr>
        <w:t>摆杆处于不同高度或相机视角时，条带长度、局部反光和背景结构存在差异。系统根据当前摆杆几何与标定参考的相似程度，从低位、中位和高位空槽图中选择匹配参考，标定对应摆杆像素长度分别为501.88、558.79和589.59像素。多参考机制避免以单一背景覆盖全部姿态，降低几何失配造成的差分残留。若参考图不可用或匹配质量不足，局部暗度路径仍可提供备选候选，但最终结果必须继续接受几何与跟踪一致性检验。</w:t>
      </w:r>
    </w:p>
    <w:p>
      <w:pPr>
        <w:pStyle w:val="Heading2"/>
      </w:pPr>
      <w:r>
        <w:t>2.5 钢球坐标反投影与实际位置换算</w:t>
      </w:r>
    </w:p>
    <w:p>
      <w:pPr>
        <w:pStyle w:val="正文"/>
        <w:keepLines w:val="0"/>
        <w:ind w:firstLine="420"/>
        <w:jc w:val="both"/>
      </w:pPr>
      <w:r>
        <w:rPr>
          <w:rFonts w:ascii="Times New Roman" w:hAnsi="Times New Roman" w:eastAsia="宋体"/>
          <w:sz w:val="21"/>
        </w:rPr>
        <w:t>设钢球中心为Pᴮ，将其投影到左右端点确定的摆杆轴线上，可得轴向比例：</w:t>
      </w:r>
    </w:p>
    <w:p>
      <w:pPr>
        <w:spacing w:before="80" w:after="80"/>
        <w:jc w:val="center"/>
      </w:pPr>
      <w:r>
        <w:rPr>
          <w:rFonts w:ascii="Cambria Math" w:hAnsi="Cambria Math" w:eastAsia="Cambria Math"/>
          <w:sz w:val="23"/>
        </w:rPr>
        <w:t>t = [(Pᴮ − Pᴸ) · (Pᴿ − Pᴸ)] / ‖Pᴿ − Pᴸ‖²</w:t>
      </w:r>
      <w:r>
        <w:rPr>
          <w:rFonts w:ascii="Times New Roman" w:hAnsi="Times New Roman" w:eastAsia="宋体"/>
          <w:sz w:val="21"/>
        </w:rPr>
        <w:t xml:space="preserve">    （2-8）</w:t>
      </w:r>
    </w:p>
    <w:p>
      <w:pPr>
        <w:pStyle w:val="正文"/>
        <w:keepLines w:val="0"/>
        <w:ind w:firstLine="420"/>
        <w:jc w:val="both"/>
      </w:pPr>
      <w:r>
        <w:rPr>
          <w:rFonts w:ascii="Times New Roman" w:hAnsi="Times New Roman" w:eastAsia="宋体"/>
          <w:sz w:val="21"/>
        </w:rPr>
        <w:t>由于有效球心行程与标记端点并不完全重合，系统使用实测标定端值t_left和t_right建立归一化位置。当前标定中t_left=0.9495781064、t_right=0.0514231734，二者方向与图像水平翻转后的坐标关系相对应。归一化位置与实际位置为：</w:t>
      </w:r>
    </w:p>
    <w:p>
      <w:pPr>
        <w:spacing w:before="80" w:after="80"/>
        <w:jc w:val="center"/>
      </w:pPr>
      <w:r>
        <w:rPr>
          <w:rFonts w:ascii="Cambria Math" w:hAnsi="Cambria Math" w:eastAsia="Cambria Math"/>
          <w:sz w:val="23"/>
        </w:rPr>
        <w:t>s = (t − t_left) / (t_right − t_left)</w:t>
      </w:r>
      <w:r>
        <w:rPr>
          <w:rFonts w:ascii="Times New Roman" w:hAnsi="Times New Roman" w:eastAsia="宋体"/>
          <w:sz w:val="21"/>
        </w:rPr>
        <w:t xml:space="preserve">    （2-9）</w:t>
      </w:r>
    </w:p>
    <w:p>
      <w:pPr>
        <w:spacing w:before="80" w:after="80"/>
        <w:jc w:val="center"/>
      </w:pPr>
      <w:r>
        <w:rPr>
          <w:rFonts w:ascii="Cambria Math" w:hAnsi="Cambria Math" w:eastAsia="Cambria Math"/>
          <w:sz w:val="23"/>
        </w:rPr>
        <w:t>x = L_eff · s</w:t>
      </w:r>
      <w:r>
        <w:rPr>
          <w:rFonts w:ascii="Times New Roman" w:hAnsi="Times New Roman" w:eastAsia="宋体"/>
          <w:sz w:val="21"/>
        </w:rPr>
        <w:t xml:space="preserve">    （2-10）</w:t>
      </w:r>
    </w:p>
    <w:p>
      <w:pPr>
        <w:pStyle w:val="正文"/>
        <w:keepLines w:val="0"/>
        <w:ind w:firstLine="420"/>
        <w:jc w:val="both"/>
      </w:pPr>
      <w:r>
        <w:rPr>
          <w:rFonts w:ascii="Times New Roman" w:hAnsi="Times New Roman" w:eastAsia="宋体"/>
          <w:sz w:val="21"/>
        </w:rPr>
        <w:t>式中L_eff为钢球球心有效行程，当前取24.0 cm。位置输出按0.1 mm/LSB编码，并对超出有效范围的结果实施边界约束和有效性检查。800像素条带对应24.0 cm时，理论轴向采样尺度约为0.30 mm/像素；该数值仅表示离散采样间隔，不代表经整机标定验证后的实际测量精度。</w:t>
      </w:r>
    </w:p>
    <w:p>
      <w:pPr>
        <w:pStyle w:val="Heading2"/>
      </w:pPr>
      <w:r>
        <w:t>2.6 Alpha-Beta位置与速度跟踪</w:t>
      </w:r>
    </w:p>
    <w:p>
      <w:pPr>
        <w:pStyle w:val="正文"/>
        <w:keepLines w:val="0"/>
        <w:ind w:firstLine="420"/>
        <w:jc w:val="both"/>
      </w:pPr>
      <w:r>
        <w:rPr>
          <w:rFonts w:ascii="Times New Roman" w:hAnsi="Times New Roman" w:eastAsia="宋体"/>
          <w:sz w:val="21"/>
        </w:rPr>
        <w:t>为抑制单帧噪声并在短时漏检时维持连续输出，系统采用恒速度模型的Alpha-Beta跟踪器。预测、残差和校正过程为：</w:t>
      </w:r>
    </w:p>
    <w:p>
      <w:pPr>
        <w:spacing w:before="80" w:after="80"/>
        <w:jc w:val="center"/>
      </w:pPr>
      <w:r>
        <w:rPr>
          <w:rFonts w:ascii="Cambria Math" w:hAnsi="Cambria Math" w:eastAsia="Cambria Math"/>
          <w:sz w:val="23"/>
        </w:rPr>
        <w:t>x̂ₖ⁻ = x̂ₖ₋₁ + v̂ₖ₋₁Δt</w:t>
      </w:r>
      <w:r>
        <w:rPr>
          <w:rFonts w:ascii="Times New Roman" w:hAnsi="Times New Roman" w:eastAsia="宋体"/>
          <w:sz w:val="21"/>
        </w:rPr>
        <w:t xml:space="preserve">    （2-11）</w:t>
      </w:r>
    </w:p>
    <w:p>
      <w:pPr>
        <w:spacing w:before="80" w:after="80"/>
        <w:jc w:val="center"/>
      </w:pPr>
      <w:r>
        <w:rPr>
          <w:rFonts w:ascii="Cambria Math" w:hAnsi="Cambria Math" w:eastAsia="Cambria Math"/>
          <w:sz w:val="23"/>
        </w:rPr>
        <w:t>rₖ = zₖ − x̂ₖ⁻</w:t>
      </w:r>
      <w:r>
        <w:rPr>
          <w:rFonts w:ascii="Times New Roman" w:hAnsi="Times New Roman" w:eastAsia="宋体"/>
          <w:sz w:val="21"/>
        </w:rPr>
        <w:t xml:space="preserve">    （2-12）</w:t>
      </w:r>
    </w:p>
    <w:p>
      <w:pPr>
        <w:spacing w:before="80" w:after="80"/>
        <w:jc w:val="center"/>
      </w:pPr>
      <w:r>
        <w:rPr>
          <w:rFonts w:ascii="Cambria Math" w:hAnsi="Cambria Math" w:eastAsia="Cambria Math"/>
          <w:sz w:val="23"/>
        </w:rPr>
        <w:t>x̂ₖ = x̂ₖ⁻ + αrₖ</w:t>
      </w:r>
      <w:r>
        <w:rPr>
          <w:rFonts w:ascii="Times New Roman" w:hAnsi="Times New Roman" w:eastAsia="宋体"/>
          <w:sz w:val="21"/>
        </w:rPr>
        <w:t xml:space="preserve">    （2-13）</w:t>
      </w:r>
    </w:p>
    <w:p>
      <w:pPr>
        <w:spacing w:before="80" w:after="80"/>
        <w:jc w:val="center"/>
      </w:pPr>
      <w:r>
        <w:rPr>
          <w:rFonts w:ascii="Cambria Math" w:hAnsi="Cambria Math" w:eastAsia="Cambria Math"/>
          <w:sz w:val="23"/>
        </w:rPr>
        <w:t>v̂ₖ = v̂ₖ₋₁ + βrₖ / Δt</w:t>
      </w:r>
      <w:r>
        <w:rPr>
          <w:rFonts w:ascii="Times New Roman" w:hAnsi="Times New Roman" w:eastAsia="宋体"/>
          <w:sz w:val="21"/>
        </w:rPr>
        <w:t xml:space="preserve">    （2-14）</w:t>
      </w:r>
    </w:p>
    <w:p>
      <w:pPr>
        <w:pStyle w:val="正文"/>
        <w:keepLines w:val="0"/>
        <w:ind w:firstLine="420"/>
        <w:jc w:val="both"/>
      </w:pPr>
      <w:r>
        <w:rPr>
          <w:rFonts w:ascii="Times New Roman" w:hAnsi="Times New Roman" w:eastAsia="宋体"/>
          <w:sz w:val="21"/>
        </w:rPr>
        <w:t>其中zₖ为当前视觉测量，α=0.75，β=0.12。较大的α使位置能够快速跟随真实测量，较小的β限制速度估计对单帧噪声的敏感程度。钢球漏检不超过3帧时可输出PREDICTED状态，超过限制后立即转为LOST并发送无效位置，避免控制器长期使用外推结果。</w:t>
      </w:r>
    </w:p>
    <w:p>
      <w:pPr>
        <w:pStyle w:val="Heading2"/>
      </w:pPr>
      <w:r>
        <w:t>2.7 关键阈值设定依据</w:t>
      </w:r>
    </w:p>
    <w:p>
      <w:pPr>
        <w:pStyle w:val="正文"/>
        <w:keepLines w:val="0"/>
        <w:ind w:firstLine="420"/>
        <w:jc w:val="both"/>
      </w:pPr>
      <w:r>
        <w:rPr>
          <w:rFonts w:ascii="Times New Roman" w:hAnsi="Times New Roman" w:eastAsia="宋体"/>
          <w:sz w:val="21"/>
        </w:rPr>
        <w:t>阈值设置遵循“物理结构约束优先、统计特征辅助、时序一致性复核”的原则。标记面积、圆度、长宽比和黑环比例来自实际标记尺寸及相机成像尺度；右端双点距离和角度来自标记布置几何；摆杆长度、角度和跳变范围用于排除非机构目标。钢球峰值与暗度阈值通过空槽和带球素材对比确定，在保证带球候选覆盖的同时重点压低空槽误检。</w:t>
      </w:r>
    </w:p>
    <w:p>
      <w:pPr>
        <w:pStyle w:val="正文"/>
        <w:keepLines w:val="0"/>
        <w:ind w:firstLine="420"/>
        <w:jc w:val="both"/>
      </w:pPr>
      <w:r>
        <w:rPr>
          <w:rFonts w:ascii="Times New Roman" w:hAnsi="Times New Roman" w:eastAsia="宋体"/>
          <w:sz w:val="21"/>
        </w:rPr>
        <w:t>所有阈值均在归一化尺寸和固定曝光配置下使用。若相机焦距、安装距离、分辨率、曝光或标记尺寸改变，应重新采集空槽与带球样本进行标定，不应机械沿用原值。现场调参时应先保证端点几何稳定，再验证空槽零误检，最后检查钢球全行程覆盖与短时动态连续性。</w:t>
      </w:r>
    </w:p>
    <w:p>
      <w:pPr>
        <w:pStyle w:val="Heading1"/>
        <w:pageBreakBefore/>
      </w:pPr>
      <w:r>
        <w:t>三、模块功能与实现设计</w:t>
      </w:r>
    </w:p>
    <w:p>
      <w:pPr>
        <w:pStyle w:val="Heading2"/>
      </w:pPr>
      <w:r>
        <w:t>3.1 模块功能边界</w:t>
      </w:r>
    </w:p>
    <w:p>
      <w:pPr>
        <w:pStyle w:val="正文"/>
        <w:keepLines w:val="0"/>
        <w:ind w:firstLine="420"/>
        <w:jc w:val="both"/>
      </w:pPr>
      <w:r>
        <w:rPr>
          <w:rFonts w:ascii="Times New Roman" w:hAnsi="Times New Roman" w:eastAsia="宋体"/>
          <w:sz w:val="21"/>
        </w:rPr>
        <w:t>视觉模块负责从相机视频中形成可供控制使用的钢球状态量，完整功能包括：相机初始化与参数设置、图像尺度和方向统一、动态端点标记识别、摆杆几何有效性判断、动态条带重建、钢球候选检测与筛选、物理位置换算、位置与速度跟踪、置信度和状态生成、USB串口协议封装、调试显示、录像以及可选网络预览。</w:t>
      </w:r>
    </w:p>
    <w:p>
      <w:pPr>
        <w:pStyle w:val="正文"/>
        <w:keepLines w:val="0"/>
        <w:ind w:firstLine="420"/>
        <w:jc w:val="both"/>
      </w:pPr>
      <w:r>
        <w:rPr>
          <w:rFonts w:ascii="Times New Roman" w:hAnsi="Times New Roman" w:eastAsia="宋体"/>
          <w:sz w:val="21"/>
        </w:rPr>
        <w:t>模块不直接驱动摆杆电机，不负责控制律计算、执行器限幅、机械保护和整车运动控制。其输出是带有状态码和时间戳的测量数据。摆杆控制器只有在帧结构、CRC、时效性和状态均满足要求时才可采用视觉输入；当视觉输出LOST或CALIBRATION_INVALID时，控制器应停止使用该位置闭环输入并执行自身安全策略。</w:t>
      </w:r>
    </w:p>
    <w:p>
      <w:pPr>
        <w:pStyle w:val="Heading2"/>
      </w:pPr>
      <w:r>
        <w:t>3.2 软件总体架构</w:t>
      </w:r>
    </w:p>
    <w:p>
      <w:pPr>
        <w:pStyle w:val="正文"/>
        <w:keepLines w:val="0"/>
        <w:ind w:firstLine="420"/>
        <w:jc w:val="both"/>
      </w:pPr>
      <w:r>
        <w:rPr>
          <w:rFonts w:ascii="Times New Roman" w:hAnsi="Times New Roman" w:eastAsia="宋体"/>
          <w:sz w:val="21"/>
        </w:rPr>
        <w:t>软件采用配置驱动的分层架构。设备层完成V4L2相机和USB CDC串口管理；预处理层完成letterbox尺度统一与水平翻转；几何层负责左右端标记检测、端点跟踪和条带重建；检测层执行多参考差分、梯度特征、局部暗体检测和候选融合；状态层完成位置标定、Alpha-Beta跟踪、置信度计算和状态机管理；输出层完成固定长度数据包发送、GUI显示、Web预览、录像和可选无线图传。</w:t>
      </w:r>
    </w:p>
    <w:p>
      <w:pPr>
        <w:pStyle w:val="正文"/>
        <w:keepLines w:val="0"/>
        <w:ind w:firstLine="420"/>
        <w:jc w:val="both"/>
      </w:pPr>
      <w:r>
        <w:rPr>
          <w:rFonts w:ascii="Times New Roman" w:hAnsi="Times New Roman" w:eastAsia="宋体"/>
          <w:sz w:val="21"/>
        </w:rPr>
        <w:t>核心识别线程不等待显示刷新、录像写盘或网络发送。录像队列容量为8，图传队列容量为2，GUI最大20帧/s，Web预览15帧/s。通过限制非核心支路帧率和队列深度，优先保证图像采集与视觉测量的实时性；当输出消费速度下降时，系统允许丢弃过期显示帧，而不是累积延迟。</w:t>
      </w:r>
    </w:p>
    <w:p>
      <w:pPr>
        <w:pStyle w:val="Heading2"/>
      </w:pPr>
      <w:r>
        <w:t>3.3 输入—处理—输出工作链路</w:t>
      </w:r>
    </w:p>
    <w:p>
      <w:pPr>
        <w:pStyle w:val="Heading3"/>
      </w:pPr>
      <w:r>
        <w:t>3.3.1 输入阶段</w:t>
      </w:r>
    </w:p>
    <w:p>
      <w:pPr>
        <w:pStyle w:val="正文"/>
        <w:ind w:left="420" w:hanging="420"/>
        <w:jc w:val="both"/>
      </w:pPr>
      <w:r>
        <w:rPr>
          <w:rFonts w:ascii="Times New Roman" w:hAnsi="Times New Roman" w:eastAsia="宋体"/>
          <w:b/>
          <w:sz w:val="21"/>
        </w:rPr>
        <w:t>（1）</w:t>
      </w:r>
      <w:r>
        <w:rPr>
          <w:rFonts w:ascii="Times New Roman" w:hAnsi="Times New Roman" w:eastAsia="宋体"/>
          <w:sz w:val="21"/>
        </w:rPr>
        <w:t>从/dev/video0通过V4L2打开相机，请求640×480、60帧/s、MJPG格式。</w:t>
      </w:r>
    </w:p>
    <w:p>
      <w:pPr>
        <w:pStyle w:val="正文"/>
        <w:ind w:left="420" w:hanging="420"/>
        <w:jc w:val="both"/>
      </w:pPr>
      <w:r>
        <w:rPr>
          <w:rFonts w:ascii="Times New Roman" w:hAnsi="Times New Roman" w:eastAsia="宋体"/>
          <w:b/>
          <w:sz w:val="21"/>
        </w:rPr>
        <w:t>（2）</w:t>
      </w:r>
      <w:r>
        <w:rPr>
          <w:rFonts w:ascii="Times New Roman" w:hAnsi="Times New Roman" w:eastAsia="宋体"/>
          <w:sz w:val="21"/>
        </w:rPr>
        <w:t>设置手动曝光模式、曝光值157、亮度4，关闭动态帧率，电源频率补偿设为0，以减少自动参数变化对参考差分的影响。</w:t>
      </w:r>
    </w:p>
    <w:p>
      <w:pPr>
        <w:pStyle w:val="正文"/>
        <w:ind w:left="420" w:hanging="420"/>
        <w:jc w:val="both"/>
      </w:pPr>
      <w:r>
        <w:rPr>
          <w:rFonts w:ascii="Times New Roman" w:hAnsi="Times New Roman" w:eastAsia="宋体"/>
          <w:b/>
          <w:sz w:val="21"/>
        </w:rPr>
        <w:t>（3）</w:t>
      </w:r>
      <w:r>
        <w:rPr>
          <w:rFonts w:ascii="Times New Roman" w:hAnsi="Times New Roman" w:eastAsia="宋体"/>
          <w:sz w:val="21"/>
        </w:rPr>
        <w:t>将输入图像按letterbox方式统一至640×480，并执行水平翻转，使图像方向、标定坐标和位置正方向保持一致。</w:t>
      </w:r>
    </w:p>
    <w:p>
      <w:pPr>
        <w:pStyle w:val="Heading3"/>
      </w:pPr>
      <w:r>
        <w:t>3.3.2 处理阶段</w:t>
      </w:r>
    </w:p>
    <w:p>
      <w:pPr>
        <w:pStyle w:val="正文"/>
        <w:ind w:left="420" w:hanging="420"/>
        <w:jc w:val="both"/>
      </w:pPr>
      <w:r>
        <w:rPr>
          <w:rFonts w:ascii="Times New Roman" w:hAnsi="Times New Roman" w:eastAsia="宋体"/>
          <w:b/>
          <w:sz w:val="21"/>
        </w:rPr>
        <w:t>（1）</w:t>
      </w:r>
      <w:r>
        <w:rPr>
          <w:rFonts w:ascii="Times New Roman" w:hAnsi="Times New Roman" w:eastAsia="宋体"/>
          <w:sz w:val="21"/>
        </w:rPr>
        <w:t>在左右局部区域内提取白色标记候选，完成左端单点和右端双点匹配。</w:t>
      </w:r>
    </w:p>
    <w:p>
      <w:pPr>
        <w:pStyle w:val="正文"/>
        <w:ind w:left="420" w:hanging="420"/>
        <w:jc w:val="both"/>
      </w:pPr>
      <w:r>
        <w:rPr>
          <w:rFonts w:ascii="Times New Roman" w:hAnsi="Times New Roman" w:eastAsia="宋体"/>
          <w:b/>
          <w:sz w:val="21"/>
        </w:rPr>
        <w:t>（2）</w:t>
      </w:r>
      <w:r>
        <w:rPr>
          <w:rFonts w:ascii="Times New Roman" w:hAnsi="Times New Roman" w:eastAsia="宋体"/>
          <w:sz w:val="21"/>
        </w:rPr>
        <w:t>依据摆杆长度、角度、端点跳变和历史状态判断几何有效性，并对允许范围内的短时丢失实施保持或预测。</w:t>
      </w:r>
    </w:p>
    <w:p>
      <w:pPr>
        <w:pStyle w:val="正文"/>
        <w:ind w:left="420" w:hanging="420"/>
        <w:jc w:val="both"/>
      </w:pPr>
      <w:r>
        <w:rPr>
          <w:rFonts w:ascii="Times New Roman" w:hAnsi="Times New Roman" w:eastAsia="宋体"/>
          <w:b/>
          <w:sz w:val="21"/>
        </w:rPr>
        <w:t>（3）</w:t>
      </w:r>
      <w:r>
        <w:rPr>
          <w:rFonts w:ascii="Times New Roman" w:hAnsi="Times New Roman" w:eastAsia="宋体"/>
          <w:sz w:val="21"/>
        </w:rPr>
        <w:t>由动态端点建立摆杆局部坐标系，将管道区域重采样为800×64条带。</w:t>
      </w:r>
    </w:p>
    <w:p>
      <w:pPr>
        <w:pStyle w:val="正文"/>
        <w:ind w:left="420" w:hanging="420"/>
        <w:jc w:val="both"/>
      </w:pPr>
      <w:r>
        <w:rPr>
          <w:rFonts w:ascii="Times New Roman" w:hAnsi="Times New Roman" w:eastAsia="宋体"/>
          <w:b/>
          <w:sz w:val="21"/>
        </w:rPr>
        <w:t>（4）</w:t>
      </w:r>
      <w:r>
        <w:rPr>
          <w:rFonts w:ascii="Times New Roman" w:hAnsi="Times New Roman" w:eastAsia="宋体"/>
          <w:sz w:val="21"/>
        </w:rPr>
        <w:t>选择与当前姿态最匹配的空槽参考图，计算灰度差分、梯度差分和局部暗体响应，产生钢球候选。</w:t>
      </w:r>
    </w:p>
    <w:p>
      <w:pPr>
        <w:pStyle w:val="正文"/>
        <w:ind w:left="420" w:hanging="420"/>
        <w:jc w:val="both"/>
      </w:pPr>
      <w:r>
        <w:rPr>
          <w:rFonts w:ascii="Times New Roman" w:hAnsi="Times New Roman" w:eastAsia="宋体"/>
          <w:b/>
          <w:sz w:val="21"/>
        </w:rPr>
        <w:t>（5）</w:t>
      </w:r>
      <w:r>
        <w:rPr>
          <w:rFonts w:ascii="Times New Roman" w:hAnsi="Times New Roman" w:eastAsia="宋体"/>
          <w:sz w:val="21"/>
        </w:rPr>
        <w:t>根据候选峰值、宽度、暗区比例、边界位置、历史预测和搜索半径进行筛选，输出最可信钢球位置。</w:t>
      </w:r>
    </w:p>
    <w:p>
      <w:pPr>
        <w:pStyle w:val="正文"/>
        <w:ind w:left="420" w:hanging="420"/>
        <w:jc w:val="both"/>
      </w:pPr>
      <w:r>
        <w:rPr>
          <w:rFonts w:ascii="Times New Roman" w:hAnsi="Times New Roman" w:eastAsia="宋体"/>
          <w:b/>
          <w:sz w:val="21"/>
        </w:rPr>
        <w:t>（6）</w:t>
      </w:r>
      <w:r>
        <w:rPr>
          <w:rFonts w:ascii="Times New Roman" w:hAnsi="Times New Roman" w:eastAsia="宋体"/>
          <w:sz w:val="21"/>
        </w:rPr>
        <w:t>将条带位置换算为24.0 cm有效行程内的物理坐标，使用Alpha-Beta跟踪器估计平滑位置与轴向速度。</w:t>
      </w:r>
    </w:p>
    <w:p>
      <w:pPr>
        <w:pStyle w:val="Heading3"/>
      </w:pPr>
      <w:r>
        <w:t>3.3.3 输出阶段</w:t>
      </w:r>
    </w:p>
    <w:p>
      <w:pPr>
        <w:pStyle w:val="正文"/>
        <w:ind w:left="420" w:hanging="420"/>
        <w:jc w:val="both"/>
      </w:pPr>
      <w:r>
        <w:rPr>
          <w:rFonts w:ascii="Times New Roman" w:hAnsi="Times New Roman" w:eastAsia="宋体"/>
          <w:b/>
          <w:sz w:val="21"/>
        </w:rPr>
        <w:t>（1）</w:t>
      </w:r>
      <w:r>
        <w:rPr>
          <w:rFonts w:ascii="Times New Roman" w:hAnsi="Times New Roman" w:eastAsia="宋体"/>
          <w:sz w:val="21"/>
        </w:rPr>
        <w:t>根据直接检测、短时预测、目标丢失或标定异常生成DETECTED、PREDICTED、LOST、CALIBRATION_INVALID四类状态。</w:t>
      </w:r>
    </w:p>
    <w:p>
      <w:pPr>
        <w:pStyle w:val="正文"/>
        <w:ind w:left="420" w:hanging="420"/>
        <w:jc w:val="both"/>
      </w:pPr>
      <w:r>
        <w:rPr>
          <w:rFonts w:ascii="Times New Roman" w:hAnsi="Times New Roman" w:eastAsia="宋体"/>
          <w:b/>
          <w:sz w:val="21"/>
        </w:rPr>
        <w:t>（2）</w:t>
      </w:r>
      <w:r>
        <w:rPr>
          <w:rFonts w:ascii="Times New Roman" w:hAnsi="Times New Roman" w:eastAsia="宋体"/>
          <w:sz w:val="21"/>
        </w:rPr>
        <w:t>将位置、速度、置信度、状态、序号和测量时间戳编码为24字节小端数据帧，以50 Hz发送至摆杆控制单片机。</w:t>
      </w:r>
    </w:p>
    <w:p>
      <w:pPr>
        <w:pStyle w:val="正文"/>
        <w:ind w:left="420" w:hanging="420"/>
        <w:jc w:val="both"/>
      </w:pPr>
      <w:r>
        <w:rPr>
          <w:rFonts w:ascii="Times New Roman" w:hAnsi="Times New Roman" w:eastAsia="宋体"/>
          <w:b/>
          <w:sz w:val="21"/>
        </w:rPr>
        <w:t>（3）</w:t>
      </w:r>
      <w:r>
        <w:rPr>
          <w:rFonts w:ascii="Times New Roman" w:hAnsi="Times New Roman" w:eastAsia="宋体"/>
          <w:sz w:val="21"/>
        </w:rPr>
        <w:t>向本地GUI和Web页面输出叠加端点、条带、钢球位置、状态和帧率的诊断图像；无线视频输出为可选功能，正式配置默认关闭。</w:t>
      </w:r>
    </w:p>
    <w:p>
      <w:pPr>
        <w:pStyle w:val="Heading2"/>
      </w:pPr>
      <w:r>
        <w:t>3.4 关键配置参数</w:t>
      </w:r>
    </w:p>
    <w:p>
      <w:pPr>
        <w:keepNext/>
        <w:jc w:val="center"/>
      </w:pPr>
      <w:r>
        <w:rPr>
          <w:rFonts w:ascii="Times New Roman" w:hAnsi="Times New Roman" w:eastAsia="黑体"/>
          <w:b/>
          <w:sz w:val="21"/>
        </w:rPr>
        <w:t>表3-1 相机与图像处理参数</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361"/>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参数类别</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参数名称</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取值</w:t>
            </w:r>
          </w:p>
        </w:tc>
        <w:tc>
          <w:tcPr>
            <w:tcW w:type="dxa" w:w="3969"/>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设计说明</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相机</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设备节点/后端</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/dev/video0；V4L2</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Linux标准视频采集接口</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相机</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分辨率/请求帧率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640×480；60帧/s</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兼顾细节与实时性</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相机</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编码格式</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MJPG</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降低USB传输带宽</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曝光</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自动曝光/曝光值</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1；157</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固定成像条件，适配参考差分</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曝光</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亮度/动态帧率/电源频率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4；关闭；0</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减少亮度漂移与帧率变化</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变换</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输出尺寸/缩放方式</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640×480；letterbox</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保持几何比例并统一输入</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变换</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水平/垂直翻转</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开启/关闭</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与标定和位置方向一致</w:t>
            </w:r>
          </w:p>
        </w:tc>
      </w:tr>
      <w:tr>
        <w:trPr>
          <w:cantSplit/>
        </w:trPr>
        <w:tc>
          <w:tcPr>
            <w:tcW w:type="dxa" w:w="1361"/>
            <w:vAlign w:val="center"/>
            <w:tcMar>
              <w:top w:w="80" w:type="dxa"/>
              <w:start w:w="90" w:type="dxa"/>
              <w:bottom w:w="80" w:type="dxa"/>
              <w:end w:w="90" w:type="dxa"/>
            </w:tcMar>
          </w:tcPr>
          <w:p>
            <w:pPr>
              <w:spacing w:after="0" w:before="0"/>
              <w:jc w:val="center"/>
            </w:pPr>
            <w:r>
              <w:rPr>
                <w:rFonts w:ascii="Times New Roman" w:hAnsi="Times New Roman" w:eastAsia="宋体"/>
                <w:sz w:val="17"/>
              </w:rPr>
              <w:t>显示</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GUI/Web最大帧率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20/15帧/s</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7"/>
              </w:rPr>
              <w:t>限制非核心支路负载</w:t>
            </w:r>
          </w:p>
        </w:tc>
      </w:tr>
    </w:tbl>
    <w:p>
      <w:pPr>
        <w:spacing w:after="0"/>
      </w:pPr>
    </w:p>
    <w:p>
      <w:pPr>
        <w:keepNext/>
        <w:jc w:val="center"/>
      </w:pPr>
      <w:r>
        <w:rPr>
          <w:rFonts w:ascii="Times New Roman" w:hAnsi="Times New Roman" w:eastAsia="黑体"/>
          <w:b/>
          <w:sz w:val="21"/>
        </w:rPr>
        <w:t>表3-2 动态条带与标记检测参数</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8"/>
              </w:rPr>
              <w:t>类别</w:t>
            </w:r>
          </w:p>
        </w:tc>
        <w:tc>
          <w:tcPr>
            <w:tcW w:type="dxa" w:w="3969"/>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8"/>
              </w:rPr>
              <w:t>参数</w:t>
            </w:r>
          </w:p>
        </w:tc>
        <w:tc>
          <w:tcPr>
            <w:tcW w:type="dxa" w:w="3969"/>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8"/>
              </w:rPr>
              <w:t>取值</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条带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归一化尺寸</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800×64</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条带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左/右内缩量</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0/0像素</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条带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采样半宽</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20像素</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左标记</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检测ROI</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[0, 180, 100, 160]</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右标记</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检测ROI</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[530, 180, 110, 180]</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左标记</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参考点</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(55, 258)</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通用</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白色阈值</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150</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通用</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连通域面积</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4～80 px²</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通用</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最小圆度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0.38</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通用</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最大长宽比</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1.8</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通用</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最小黑环比例</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0.30</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右双点</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点间距离</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8～30像素</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右双点</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最大面积比</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3.5</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右双点</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目标角度及容差</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90°，±35°</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几何</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摆杆长度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430～610像素</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几何</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摆杆角度</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−12°～+12°</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几何</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最大端点跳变</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35像素</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8"/>
              </w:rPr>
              <w:t>容错</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左端保持/右端预测</w:t>
            </w:r>
          </w:p>
        </w:tc>
        <w:tc>
          <w:tcPr>
            <w:tcW w:type="dxa" w:w="3969"/>
            <w:vAlign w:val="center"/>
            <w:tcMar>
              <w:top w:w="80" w:type="dxa"/>
              <w:start w:w="90" w:type="dxa"/>
              <w:bottom w:w="80" w:type="dxa"/>
              <w:end w:w="90" w:type="dxa"/>
            </w:tcMar>
          </w:tcPr>
          <w:p>
            <w:pPr>
              <w:spacing w:after="0" w:before="0"/>
              <w:jc w:val="left"/>
            </w:pPr>
            <w:r>
              <w:rPr>
                <w:rFonts w:ascii="Times New Roman" w:hAnsi="Times New Roman" w:eastAsia="宋体"/>
                <w:sz w:val="18"/>
              </w:rPr>
              <w:t>2帧/3帧</w:t>
            </w:r>
          </w:p>
        </w:tc>
      </w:tr>
    </w:tbl>
    <w:p>
      <w:pPr>
        <w:spacing w:after="0"/>
      </w:pPr>
    </w:p>
    <w:p>
      <w:pPr>
        <w:keepNext/>
        <w:jc w:val="center"/>
      </w:pPr>
      <w:r>
        <w:rPr>
          <w:rFonts w:ascii="Times New Roman" w:hAnsi="Times New Roman" w:eastAsia="黑体"/>
          <w:b/>
          <w:sz w:val="21"/>
        </w:rPr>
        <w:t>表3-3 钢球检测参数</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参数</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取值</w:t>
            </w:r>
          </w:p>
        </w:tc>
        <w:tc>
          <w:tcPr>
            <w:tcW w:type="dxa" w:w="45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作用</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灰度差分权重</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1.0</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突出钢球造成的亮度变化</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梯度差分权重</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0.65</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强化钢球边缘结构</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平滑核</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9</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抑制高频噪声</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差分峰阈值</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18</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限定有效变化强度</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差分峰宽</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8～80像素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排除过窄噪声和过宽背景变化</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跟踪搜索半径</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120像素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限制候选与预测位置偏差</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参考暗度差</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30</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验证参考图区域暗化程度</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最小参考暗区比例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0.12</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抑制零散暗点</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验证窗口半宽/半高</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20/24像素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评估候选局部区域</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局部暗度阈值</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8.0</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独立暗体检测门限</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暗度基线核</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101</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估计缓慢亮度背景</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暗体峰宽</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3～60像素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限制暗体候选尺度</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上下边缘排除</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6像素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排除条带边缘结构</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左右端排除比例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各5%</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避免端点与边界干扰</w:t>
            </w:r>
          </w:p>
        </w:tc>
      </w:tr>
    </w:tbl>
    <w:p>
      <w:pPr>
        <w:spacing w:after="0"/>
      </w:pPr>
    </w:p>
    <w:p>
      <w:pPr>
        <w:keepNext/>
        <w:jc w:val="center"/>
      </w:pPr>
      <w:r>
        <w:rPr>
          <w:rFonts w:ascii="Times New Roman" w:hAnsi="Times New Roman" w:eastAsia="黑体"/>
          <w:b/>
          <w:sz w:val="21"/>
        </w:rPr>
        <w:t>表3-4 跟踪、容错与输出参数</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参数</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取值</w:t>
            </w:r>
          </w:p>
        </w:tc>
        <w:tc>
          <w:tcPr>
            <w:tcW w:type="dxa" w:w="45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说明</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Alpha/Beta</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0.75/0.12</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位置快速跟随、速度平滑估计</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钢球最大漏检</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3帧</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允许短时预测，超限转LOST</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串口数据过期</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150 ms</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超过时效不得作为当前测量</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串口重连间隔</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1.0 s</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断开后周期性恢复</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串口写超时</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0.02 s</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限制通信阻塞时间</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录像队列</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8帧</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解耦写盘与识别</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图传队列</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2帧</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优先低延迟而非完整保帧</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串口发送频率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50 Hz</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约20 ms发送一包</w:t>
            </w:r>
          </w:p>
        </w:tc>
      </w:tr>
    </w:tbl>
    <w:p>
      <w:pPr>
        <w:spacing w:after="0"/>
      </w:pPr>
    </w:p>
    <w:p>
      <w:pPr>
        <w:keepNext/>
        <w:jc w:val="center"/>
      </w:pPr>
      <w:r>
        <w:rPr>
          <w:rFonts w:ascii="Times New Roman" w:hAnsi="Times New Roman" w:eastAsia="黑体"/>
          <w:b/>
          <w:sz w:val="21"/>
        </w:rPr>
        <w:t>表3-5 位置与姿态标定参数</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参数</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取值</w:t>
            </w:r>
          </w:p>
        </w:tc>
        <w:tc>
          <w:tcPr>
            <w:tcW w:type="dxa" w:w="45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7"/>
              </w:rPr>
              <w:t>物理意义</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t_left</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0.9495781064</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左极限球心对应轴向比例</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t_right</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0.0514231734</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右极限球心对应轴向比例</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有效行程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24.0 cm</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25 cm管道扣除1 cm钢球直径后的球心行程</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低位参考长度</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501.88像素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低位空槽参考图摆杆长度</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中位参考长度</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558.79像素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中位空槽参考图摆杆长度</w:t>
            </w:r>
          </w:p>
        </w:tc>
      </w:tr>
      <w:tr>
        <w:trPr>
          <w:cantSplit/>
        </w:trPr>
        <w:tc>
          <w:tcPr>
            <w:tcW w:type="dxa" w:w="2835"/>
            <w:vAlign w:val="center"/>
            <w:tcMar>
              <w:top w:w="80" w:type="dxa"/>
              <w:start w:w="90" w:type="dxa"/>
              <w:bottom w:w="80" w:type="dxa"/>
              <w:end w:w="90" w:type="dxa"/>
            </w:tcMar>
          </w:tcPr>
          <w:p>
            <w:pPr>
              <w:spacing w:after="0" w:before="0"/>
              <w:jc w:val="center"/>
            </w:pPr>
            <w:r>
              <w:rPr>
                <w:rFonts w:ascii="Times New Roman" w:hAnsi="Times New Roman" w:eastAsia="宋体"/>
                <w:sz w:val="17"/>
              </w:rPr>
              <w:t>高位参考长度</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7"/>
              </w:rPr>
              <w:t>589.59像素</w:t>
            </w:r>
          </w:p>
        </w:tc>
        <w:tc>
          <w:tcPr>
            <w:tcW w:type="dxa" w:w="4535"/>
            <w:vAlign w:val="center"/>
            <w:tcMar>
              <w:top w:w="80" w:type="dxa"/>
              <w:start w:w="90" w:type="dxa"/>
              <w:bottom w:w="80" w:type="dxa"/>
              <w:end w:w="90" w:type="dxa"/>
            </w:tcMar>
          </w:tcPr>
          <w:p>
            <w:pPr>
              <w:spacing w:after="0" w:before="0"/>
              <w:jc w:val="left"/>
            </w:pPr>
            <w:r>
              <w:rPr>
                <w:rFonts w:ascii="Times New Roman" w:hAnsi="Times New Roman" w:eastAsia="宋体"/>
                <w:sz w:val="17"/>
              </w:rPr>
              <w:t>高位空槽参考图摆杆长度</w:t>
            </w:r>
          </w:p>
        </w:tc>
      </w:tr>
    </w:tbl>
    <w:p>
      <w:pPr>
        <w:spacing w:after="0"/>
      </w:pPr>
    </w:p>
    <w:p>
      <w:pPr>
        <w:pStyle w:val="Heading2"/>
      </w:pPr>
      <w:r>
        <w:t>3.5 与摆杆控制模块的通信接口</w:t>
      </w:r>
    </w:p>
    <w:p>
      <w:pPr>
        <w:pStyle w:val="Heading3"/>
      </w:pPr>
      <w:r>
        <w:t>3.5.1 物理接口</w:t>
      </w:r>
    </w:p>
    <w:p>
      <w:pPr>
        <w:pStyle w:val="正文"/>
        <w:keepLines w:val="0"/>
        <w:ind w:firstLine="420"/>
        <w:jc w:val="both"/>
      </w:pPr>
      <w:r>
        <w:rPr>
          <w:rFonts w:ascii="Times New Roman" w:hAnsi="Times New Roman" w:eastAsia="宋体"/>
          <w:sz w:val="21"/>
        </w:rPr>
        <w:t>树莓派5与摆杆控制单片机之间采用USB CDC虚拟串口连接，通信参数为115200 bit/s、8个数据位、1个停止位、无奇偶校验、无流控。数据由树莓派单向发送，默认频率50 Hz。USB CDC具有接线简单、主机侧设备管理成熟和调试方便等优点，适合车载近距离数字通信。</w:t>
      </w:r>
    </w:p>
    <w:p>
      <w:pPr>
        <w:pStyle w:val="Heading3"/>
      </w:pPr>
      <w:r>
        <w:t>3.5.2 数据协议</w:t>
      </w:r>
    </w:p>
    <w:p>
      <w:pPr>
        <w:pStyle w:val="正文"/>
        <w:keepLines w:val="0"/>
        <w:ind w:firstLine="420"/>
        <w:jc w:val="both"/>
      </w:pPr>
      <w:r>
        <w:rPr>
          <w:rFonts w:ascii="Times New Roman" w:hAnsi="Times New Roman" w:eastAsia="宋体"/>
          <w:sz w:val="21"/>
        </w:rPr>
        <w:t>每个数据包固定24字节，所有多字节字段采用小端序。接收端把串口视为连续字节流，通过帧头、版本、长度和CRC恢复完整数据帧，不依赖换行符或结束字符。</w:t>
      </w:r>
    </w:p>
    <w:p>
      <w:pPr>
        <w:keepNext/>
        <w:jc w:val="center"/>
      </w:pPr>
      <w:r>
        <w:rPr>
          <w:rFonts w:ascii="Times New Roman" w:hAnsi="Times New Roman" w:eastAsia="黑体"/>
          <w:b/>
          <w:sz w:val="21"/>
        </w:rPr>
        <w:t>表3-6 视觉数据帧定义</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134"/>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偏移</w:t>
            </w:r>
          </w:p>
        </w:tc>
        <w:tc>
          <w:tcPr>
            <w:tcW w:type="dxa" w:w="1247"/>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长度</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字段</w:t>
            </w:r>
          </w:p>
        </w:tc>
        <w:tc>
          <w:tcPr>
            <w:tcW w:type="dxa" w:w="4819"/>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定义</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0</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2字节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header</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固定0x5AA5，线上字节A5 5A</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2</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version</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固定1</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3</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length</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固定24</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4</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4字节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sequence</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成功发送后递增，32位回绕</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8</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4字节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timestamp_ms</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图像测量时间戳，单位ms</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12</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2字节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start_id</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当前固定为0</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14</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2字节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position_0p1mm</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0.1 mm/LSB；−32768表示无效</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16</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2字节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velocity_mm_s</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1 mm/s/LSB</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18</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confidence</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0～255</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19</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status</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0检测；1预测；2丢失；3标定无效</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20</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flags</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当前固定为0</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21</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1字节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reserved</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固定为0</w:t>
            </w:r>
          </w:p>
        </w:tc>
      </w:tr>
      <w:tr>
        <w:trPr>
          <w:cantSplit/>
        </w:trPr>
        <w:tc>
          <w:tcPr>
            <w:tcW w:type="dxa" w:w="1134"/>
            <w:vAlign w:val="center"/>
            <w:tcMar>
              <w:top w:w="80" w:type="dxa"/>
              <w:start w:w="90" w:type="dxa"/>
              <w:bottom w:w="80" w:type="dxa"/>
              <w:end w:w="90" w:type="dxa"/>
            </w:tcMar>
          </w:tcPr>
          <w:p>
            <w:pPr>
              <w:spacing w:after="0" w:before="0"/>
              <w:jc w:val="center"/>
            </w:pPr>
            <w:r>
              <w:rPr>
                <w:rFonts w:ascii="Times New Roman" w:hAnsi="Times New Roman" w:eastAsia="宋体"/>
                <w:sz w:val="16"/>
              </w:rPr>
              <w:t>22</w:t>
            </w:r>
          </w:p>
        </w:tc>
        <w:tc>
          <w:tcPr>
            <w:tcW w:type="dxa" w:w="1247"/>
            <w:vAlign w:val="center"/>
            <w:tcMar>
              <w:top w:w="80" w:type="dxa"/>
              <w:start w:w="90" w:type="dxa"/>
              <w:bottom w:w="80" w:type="dxa"/>
              <w:end w:w="90" w:type="dxa"/>
            </w:tcMar>
          </w:tcPr>
          <w:p>
            <w:pPr>
              <w:spacing w:after="0" w:before="0"/>
              <w:jc w:val="left"/>
            </w:pPr>
            <w:r>
              <w:rPr>
                <w:rFonts w:ascii="Times New Roman" w:hAnsi="Times New Roman" w:eastAsia="宋体"/>
                <w:sz w:val="16"/>
              </w:rPr>
              <w:t>2字节</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crc16</w:t>
            </w:r>
          </w:p>
        </w:tc>
        <w:tc>
          <w:tcPr>
            <w:tcW w:type="dxa" w:w="4819"/>
            <w:vAlign w:val="center"/>
            <w:tcMar>
              <w:top w:w="80" w:type="dxa"/>
              <w:start w:w="90" w:type="dxa"/>
              <w:bottom w:w="80" w:type="dxa"/>
              <w:end w:w="90" w:type="dxa"/>
            </w:tcMar>
          </w:tcPr>
          <w:p>
            <w:pPr>
              <w:spacing w:after="0" w:before="0"/>
              <w:jc w:val="left"/>
            </w:pPr>
            <w:r>
              <w:rPr>
                <w:rFonts w:ascii="Times New Roman" w:hAnsi="Times New Roman" w:eastAsia="宋体"/>
                <w:sz w:val="16"/>
              </w:rPr>
              <w:t>CRC-16/CCITT-FALSE，覆盖前22字节</w:t>
            </w:r>
          </w:p>
        </w:tc>
      </w:tr>
    </w:tbl>
    <w:p>
      <w:pPr>
        <w:spacing w:after="0"/>
      </w:pPr>
    </w:p>
    <w:p>
      <w:pPr>
        <w:pStyle w:val="Heading2"/>
      </w:pPr>
      <w:r>
        <w:t>3.6 数据交互逻辑</w:t>
      </w:r>
    </w:p>
    <w:p>
      <w:pPr>
        <w:pStyle w:val="正文"/>
        <w:keepLines w:val="0"/>
        <w:ind w:firstLine="420"/>
        <w:jc w:val="both"/>
      </w:pPr>
      <w:r>
        <w:rPr>
          <w:rFonts w:ascii="Times New Roman" w:hAnsi="Times New Roman" w:eastAsia="宋体"/>
          <w:sz w:val="21"/>
        </w:rPr>
        <w:t>视觉程序每获得一帧图像即记录测量时间戳并更新内部状态；串口发送器以50 Hz读取最新测量快照进行编码。若结果为DETECTED，则发送当前测量与跟踪速度；若属于允许的短时端点预测或钢球漏检，则发送PREDICTED状态，控制器可降低权重谨慎使用；若超过漏检帧数、摆杆几何无效或数据年龄超过150 ms，则发送无效位置−32768、速度0以及LOST或CALIBRATION_INVALID状态。</w:t>
      </w:r>
    </w:p>
    <w:p>
      <w:pPr>
        <w:pStyle w:val="正文"/>
        <w:keepLines w:val="0"/>
        <w:ind w:firstLine="420"/>
        <w:jc w:val="both"/>
      </w:pPr>
      <w:r>
        <w:rPr>
          <w:rFonts w:ascii="Times New Roman" w:hAnsi="Times New Roman" w:eastAsia="宋体"/>
          <w:sz w:val="21"/>
        </w:rPr>
        <w:t>单片机接收后应依次检查帧头0x5AA5、版本1、长度24、CRC正确、序号更新和通信时效。只有状态为0或1且位置不等于−32768时，位置数据才具备使用条件。连续100～200 ms未收到CRC正确且序号更新的数据包时，建议控制器将视觉链路判定为离线并进入安全状态。start_id和flags在当前系统中均固定为0，不再承担车辆运动状态或控制开始条件。</w:t>
      </w:r>
    </w:p>
    <w:p>
      <w:pPr>
        <w:pStyle w:val="Heading2"/>
      </w:pPr>
      <w:r>
        <w:t>3.7 异常场景处理机制</w:t>
      </w:r>
    </w:p>
    <w:p>
      <w:pPr>
        <w:pStyle w:val="正文"/>
        <w:ind w:left="420" w:hanging="420"/>
        <w:jc w:val="both"/>
      </w:pPr>
      <w:r>
        <w:rPr>
          <w:rFonts w:ascii="Times New Roman" w:hAnsi="Times New Roman" w:eastAsia="宋体"/>
          <w:b/>
          <w:sz w:val="21"/>
        </w:rPr>
        <w:t>（1）左端标记短时丢失。</w:t>
      </w:r>
      <w:r>
        <w:rPr>
          <w:rFonts w:ascii="Times New Roman" w:hAnsi="Times New Roman" w:eastAsia="宋体"/>
          <w:sz w:val="21"/>
        </w:rPr>
        <w:t>允许保持最近有效左端点最多2帧，同时继续执行整体几何约束；超过保持窗口后，摆杆几何判为无效。</w:t>
      </w:r>
    </w:p>
    <w:p>
      <w:pPr>
        <w:pStyle w:val="正文"/>
        <w:ind w:left="420" w:hanging="420"/>
        <w:jc w:val="both"/>
      </w:pPr>
      <w:r>
        <w:rPr>
          <w:rFonts w:ascii="Times New Roman" w:hAnsi="Times New Roman" w:eastAsia="宋体"/>
          <w:b/>
          <w:sz w:val="21"/>
        </w:rPr>
        <w:t>（2）右端标记短时丢失。</w:t>
      </w:r>
      <w:r>
        <w:rPr>
          <w:rFonts w:ascii="Times New Roman" w:hAnsi="Times New Roman" w:eastAsia="宋体"/>
          <w:sz w:val="21"/>
        </w:rPr>
        <w:t>依据历史端点运动趋势预测最多3帧，并将输出状态降级为PREDICTED；预测超限后转为LOST。</w:t>
      </w:r>
    </w:p>
    <w:p>
      <w:pPr>
        <w:pStyle w:val="正文"/>
        <w:ind w:left="420" w:hanging="420"/>
        <w:jc w:val="both"/>
      </w:pPr>
      <w:r>
        <w:rPr>
          <w:rFonts w:ascii="Times New Roman" w:hAnsi="Times New Roman" w:eastAsia="宋体"/>
          <w:b/>
          <w:sz w:val="21"/>
        </w:rPr>
        <w:t>（3）钢球短时漏检。</w:t>
      </w:r>
      <w:r>
        <w:rPr>
          <w:rFonts w:ascii="Times New Roman" w:hAnsi="Times New Roman" w:eastAsia="宋体"/>
          <w:sz w:val="21"/>
        </w:rPr>
        <w:t>Alpha-Beta模型最多外推3帧，期间不得伪装为直接检测；重新检测后依据残差完成校正，连续漏检超限则输出无效位置。</w:t>
      </w:r>
    </w:p>
    <w:p>
      <w:pPr>
        <w:pStyle w:val="正文"/>
        <w:ind w:left="420" w:hanging="420"/>
        <w:jc w:val="both"/>
      </w:pPr>
      <w:r>
        <w:rPr>
          <w:rFonts w:ascii="Times New Roman" w:hAnsi="Times New Roman" w:eastAsia="宋体"/>
          <w:b/>
          <w:sz w:val="21"/>
        </w:rPr>
        <w:t>（4）环境光变化。</w:t>
      </w:r>
      <w:r>
        <w:rPr>
          <w:rFonts w:ascii="Times New Roman" w:hAnsi="Times New Roman" w:eastAsia="宋体"/>
          <w:sz w:val="21"/>
        </w:rPr>
        <w:t>通过固定曝光、局部亮度基线、多参考空槽差分、灰度与梯度融合降低整体亮度变化影响。若光照变化导致空槽参考显著失配，应重新采集对应姿态参考图。</w:t>
      </w:r>
    </w:p>
    <w:p>
      <w:pPr>
        <w:pStyle w:val="正文"/>
        <w:ind w:left="420" w:hanging="420"/>
        <w:jc w:val="both"/>
      </w:pPr>
      <w:r>
        <w:rPr>
          <w:rFonts w:ascii="Times New Roman" w:hAnsi="Times New Roman" w:eastAsia="宋体"/>
          <w:b/>
          <w:sz w:val="21"/>
        </w:rPr>
        <w:t>（5）摆杆几何失效。</w:t>
      </w:r>
      <w:r>
        <w:rPr>
          <w:rFonts w:ascii="Times New Roman" w:hAnsi="Times New Roman" w:eastAsia="宋体"/>
          <w:sz w:val="21"/>
        </w:rPr>
        <w:t>端点距离、角度或跳变超出限定范围时，不生成可信条带和位置，状态转为CALIBRATION_INVALID或LOST，阻止异常坐标进入控制器。</w:t>
      </w:r>
    </w:p>
    <w:p>
      <w:pPr>
        <w:pStyle w:val="正文"/>
        <w:ind w:left="420" w:hanging="420"/>
        <w:jc w:val="both"/>
      </w:pPr>
      <w:r>
        <w:rPr>
          <w:rFonts w:ascii="Times New Roman" w:hAnsi="Times New Roman" w:eastAsia="宋体"/>
          <w:b/>
          <w:sz w:val="21"/>
        </w:rPr>
        <w:t>（6）标定和参考图异常。</w:t>
      </w:r>
      <w:r>
        <w:rPr>
          <w:rFonts w:ascii="Times New Roman" w:hAnsi="Times New Roman" w:eastAsia="宋体"/>
          <w:sz w:val="21"/>
        </w:rPr>
        <w:t>启动时检查标定文件、图像尺寸、参考路径和有效行程；关键数据缺失时禁止正常位置输出。多参考选择失败时，可使用局部暗体路径辅助检测，但不得绕过最终有效性检查。</w:t>
      </w:r>
    </w:p>
    <w:p>
      <w:pPr>
        <w:pStyle w:val="正文"/>
        <w:ind w:left="420" w:hanging="420"/>
        <w:jc w:val="both"/>
      </w:pPr>
      <w:r>
        <w:rPr>
          <w:rFonts w:ascii="Times New Roman" w:hAnsi="Times New Roman" w:eastAsia="宋体"/>
          <w:b/>
          <w:sz w:val="21"/>
        </w:rPr>
        <w:t>（7）串口断开。</w:t>
      </w:r>
      <w:r>
        <w:rPr>
          <w:rFonts w:ascii="Times New Roman" w:hAnsi="Times New Roman" w:eastAsia="宋体"/>
          <w:sz w:val="21"/>
        </w:rPr>
        <w:t>写操作超时限制为0.02 s，断开后每1.0 s尝试重连，识别主线程不因通信阻塞而停顿。接收端使用序号、时间戳和独立超时完成链路失效保护。</w:t>
      </w:r>
    </w:p>
    <w:p>
      <w:pPr>
        <w:pStyle w:val="正文"/>
        <w:ind w:left="420" w:hanging="420"/>
        <w:jc w:val="both"/>
      </w:pPr>
      <w:r>
        <w:rPr>
          <w:rFonts w:ascii="Times New Roman" w:hAnsi="Times New Roman" w:eastAsia="宋体"/>
          <w:b/>
          <w:sz w:val="21"/>
        </w:rPr>
        <w:t>（8）录像和显示阻塞。</w:t>
      </w:r>
      <w:r>
        <w:rPr>
          <w:rFonts w:ascii="Times New Roman" w:hAnsi="Times New Roman" w:eastAsia="宋体"/>
          <w:sz w:val="21"/>
        </w:rPr>
        <w:t>录像与图传采用有界队列，GUI与Web预览限帧；队列积压时优先丢弃过期可视化帧，保证实时测量链路。</w:t>
      </w:r>
    </w:p>
    <w:p>
      <w:pPr>
        <w:pStyle w:val="Heading2"/>
      </w:pPr>
      <w:r>
        <w:t>3.8 图像显示与无线图传设计</w:t>
      </w:r>
    </w:p>
    <w:p>
      <w:pPr>
        <w:pStyle w:val="正文"/>
        <w:keepLines w:val="0"/>
        <w:ind w:firstLine="420"/>
        <w:jc w:val="both"/>
      </w:pPr>
      <w:r>
        <w:rPr>
          <w:rFonts w:ascii="Times New Roman" w:hAnsi="Times New Roman" w:eastAsia="宋体"/>
          <w:sz w:val="21"/>
        </w:rPr>
        <w:t>本地调试界面显示端点、摆杆轴线、归一化条带、钢球候选、最终位置、速度、置信度、状态和分阶段帧率，便于现场判断故障发生在采集、端点定位、钢球检测、跟踪还是通信环节。Web预览端口为8080，最大15帧/s，主要用于非实时监视。</w:t>
      </w:r>
    </w:p>
    <w:p>
      <w:pPr>
        <w:pStyle w:val="正文"/>
        <w:keepLines w:val="0"/>
        <w:ind w:firstLine="420"/>
        <w:jc w:val="both"/>
      </w:pPr>
      <w:r>
        <w:rPr>
          <w:rFonts w:ascii="Times New Roman" w:hAnsi="Times New Roman" w:eastAsia="宋体"/>
          <w:sz w:val="21"/>
        </w:rPr>
        <w:t>系统预留基于FFmpeg的UDP无线视频输出，设计参数为25帧/s、目标端口5600、预期延迟约120 ms、H.264编码、ultrafast预设、4 Mbit/s码率、GOP 30、队列深度2。该功能与视觉识别主链路解耦，正式配置wireless_video.enabled=false，因此本报告仅说明接口与设计参数，不将无线图传列为已完成实机验收的功能。</w:t>
      </w:r>
    </w:p>
    <w:p>
      <w:pPr>
        <w:pStyle w:val="Heading1"/>
        <w:pageBreakBefore/>
      </w:pPr>
      <w:r>
        <w:t>四、模块性能指标与测试结论</w:t>
      </w:r>
    </w:p>
    <w:p>
      <w:pPr>
        <w:pStyle w:val="Heading2"/>
      </w:pPr>
      <w:r>
        <w:t>4.1 核心性能指标</w:t>
      </w:r>
    </w:p>
    <w:p>
      <w:pPr>
        <w:keepNext/>
        <w:jc w:val="center"/>
      </w:pPr>
      <w:r>
        <w:rPr>
          <w:rFonts w:ascii="Times New Roman" w:hAnsi="Times New Roman" w:eastAsia="黑体"/>
          <w:b/>
          <w:sz w:val="21"/>
        </w:rPr>
        <w:t>表4-1 模块性能指标及验证状态</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指标</w:t>
            </w:r>
          </w:p>
        </w:tc>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设计值或目标</w:t>
            </w:r>
          </w:p>
        </w:tc>
        <w:tc>
          <w:tcPr>
            <w:tcW w:type="dxa" w:w="266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当前验证结果</w:t>
            </w:r>
          </w:p>
        </w:tc>
        <w:tc>
          <w:tcPr>
            <w:tcW w:type="dxa" w:w="311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结论边界</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输入分辨率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640×480</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已按正式配置运行</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相机采集帧率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60帧/s</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60.02帧/s，时间戳统计60.20帧/s</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完整视觉链路帧率</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接近60帧/s并满足实时控制</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约55～58帧/s</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满足当前实时性要求</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完整链路处理延迟</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单帧处理低于帧周期</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P50约6.3～6.6 ms；P95约7.1～7.5 ms；P99约7.5～8.5 ms</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摆杆端点检测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动态姿态持续有效</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匹配参考素材中100%</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满足离线素材验证</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空槽误检</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尽可能为0</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当前参考匹配素材527帧为0</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满足样本范围内要求</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带球候选覆盖</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全行程稳定覆盖</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当前参考匹配素材975帧为100%</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候选覆盖，不等同严格准确率</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位置量程</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0～24.0 cm</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协议与标定已实现</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实际误差待整机标尺验证</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通信输出</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50 Hz、24字节、CRC保护</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协议及软件功能已实现</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需与最终控制器联调</w:t>
            </w:r>
          </w:p>
        </w:tc>
      </w:tr>
      <w:tr>
        <w:trPr>
          <w:cantSplit/>
        </w:trPr>
        <w:tc>
          <w:tcPr>
            <w:tcW w:type="dxa" w:w="1701"/>
            <w:vAlign w:val="center"/>
            <w:tcMar>
              <w:top w:w="80" w:type="dxa"/>
              <w:start w:w="90" w:type="dxa"/>
              <w:bottom w:w="80" w:type="dxa"/>
              <w:end w:w="90" w:type="dxa"/>
            </w:tcMar>
          </w:tcPr>
          <w:p>
            <w:pPr>
              <w:spacing w:after="0" w:before="0"/>
              <w:jc w:val="center"/>
            </w:pPr>
            <w:r>
              <w:rPr>
                <w:rFonts w:ascii="Times New Roman" w:hAnsi="Times New Roman" w:eastAsia="宋体"/>
                <w:sz w:val="16"/>
              </w:rPr>
              <w:t>无线图传</w:t>
            </w:r>
          </w:p>
        </w:tc>
        <w:tc>
          <w:tcPr>
            <w:tcW w:type="dxa" w:w="2268"/>
            <w:vAlign w:val="center"/>
            <w:tcMar>
              <w:top w:w="80" w:type="dxa"/>
              <w:start w:w="90" w:type="dxa"/>
              <w:bottom w:w="80" w:type="dxa"/>
              <w:end w:w="90" w:type="dxa"/>
            </w:tcMar>
          </w:tcPr>
          <w:p>
            <w:pPr>
              <w:spacing w:after="0" w:before="0"/>
              <w:jc w:val="left"/>
            </w:pPr>
            <w:r>
              <w:rPr>
                <w:rFonts w:ascii="Times New Roman" w:hAnsi="Times New Roman" w:eastAsia="宋体"/>
                <w:sz w:val="16"/>
              </w:rPr>
              <w:t>可选低延迟输出</w:t>
            </w:r>
          </w:p>
        </w:tc>
        <w:tc>
          <w:tcPr>
            <w:tcW w:type="dxa" w:w="2665"/>
            <w:vAlign w:val="center"/>
            <w:tcMar>
              <w:top w:w="80" w:type="dxa"/>
              <w:start w:w="90" w:type="dxa"/>
              <w:bottom w:w="80" w:type="dxa"/>
              <w:end w:w="90" w:type="dxa"/>
            </w:tcMar>
          </w:tcPr>
          <w:p>
            <w:pPr>
              <w:spacing w:after="0" w:before="0"/>
              <w:jc w:val="left"/>
            </w:pPr>
            <w:r>
              <w:rPr>
                <w:rFonts w:ascii="Times New Roman" w:hAnsi="Times New Roman" w:eastAsia="宋体"/>
                <w:sz w:val="16"/>
              </w:rPr>
              <w:t>正式配置关闭</w:t>
            </w:r>
          </w:p>
        </w:tc>
        <w:tc>
          <w:tcPr>
            <w:tcW w:type="dxa" w:w="3118"/>
            <w:vAlign w:val="center"/>
            <w:tcMar>
              <w:top w:w="80" w:type="dxa"/>
              <w:start w:w="90" w:type="dxa"/>
              <w:bottom w:w="80" w:type="dxa"/>
              <w:end w:w="90" w:type="dxa"/>
            </w:tcMar>
          </w:tcPr>
          <w:p>
            <w:pPr>
              <w:spacing w:after="0" w:before="0"/>
              <w:jc w:val="left"/>
            </w:pPr>
            <w:r>
              <w:rPr>
                <w:rFonts w:ascii="Times New Roman" w:hAnsi="Times New Roman" w:eastAsia="宋体"/>
                <w:sz w:val="16"/>
              </w:rPr>
              <w:t>未完成最终实机验收</w:t>
            </w:r>
          </w:p>
        </w:tc>
      </w:tr>
    </w:tbl>
    <w:p>
      <w:pPr>
        <w:spacing w:after="0"/>
      </w:pPr>
    </w:p>
    <w:p>
      <w:pPr>
        <w:pStyle w:val="Heading2"/>
      </w:pPr>
      <w:r>
        <w:t>4.2 单元与功能测试</w:t>
      </w:r>
    </w:p>
    <w:p>
      <w:pPr>
        <w:pStyle w:val="正文"/>
        <w:keepLines w:val="0"/>
        <w:ind w:firstLine="420"/>
        <w:jc w:val="both"/>
      </w:pPr>
      <w:r>
        <w:rPr>
          <w:rFonts w:ascii="Times New Roman" w:hAnsi="Times New Roman" w:eastAsia="宋体"/>
          <w:sz w:val="21"/>
        </w:rPr>
        <w:t>截至2026年7月31日，项目使用D:\Coding\anaconda\envs\2026-yolo\python.exe执行测试，共211项测试全部通过，用时2.59 s。测试覆盖动态标记检测、条带几何、钢球候选、跟踪状态、位置换算、协议封装、CRC、配置解析、异常输入及输出逻辑等软件功能。该结果证明当前代码在既定测试条件下具备一致的功能行为，但不能替代整机机械、电气和控制闭环验证。</w:t>
      </w:r>
    </w:p>
    <w:p>
      <w:pPr>
        <w:pStyle w:val="Heading2"/>
      </w:pPr>
      <w:r>
        <w:t>4.3 树莓派相机采集测试</w:t>
      </w:r>
    </w:p>
    <w:p>
      <w:pPr>
        <w:pStyle w:val="正文"/>
        <w:keepLines w:val="0"/>
        <w:ind w:firstLine="420"/>
        <w:jc w:val="both"/>
      </w:pPr>
      <w:r>
        <w:rPr>
          <w:rFonts w:ascii="Times New Roman" w:hAnsi="Times New Roman" w:eastAsia="宋体"/>
          <w:sz w:val="21"/>
        </w:rPr>
        <w:t>在树莓派5上对正式相机模式进行连续采集测试，共获得1807帧，持续30.10 s，按帧数与总时间计算的平均帧率为60.02帧/s，依据采集时间戳统计为60.20帧/s，读取失败次数为0。测试表明640×480、MJPG、60帧/s模式能够稳定建立，采集端未成为当前系统的主要性能瓶颈。</w:t>
      </w:r>
    </w:p>
    <w:p>
      <w:pPr>
        <w:pStyle w:val="Heading2"/>
      </w:pPr>
      <w:r>
        <w:t>4.4 树莓派完整视觉链路性能测试</w:t>
      </w:r>
    </w:p>
    <w:p>
      <w:pPr>
        <w:pStyle w:val="正文"/>
        <w:keepLines w:val="0"/>
        <w:ind w:firstLine="420"/>
        <w:jc w:val="both"/>
      </w:pPr>
      <w:r>
        <w:rPr>
          <w:rFonts w:ascii="Times New Roman" w:hAnsi="Times New Roman" w:eastAsia="宋体"/>
          <w:sz w:val="21"/>
        </w:rPr>
        <w:t>启用图像预处理、动态标记检测、条带重建、钢球检测和状态跟踪后，树莓派完整视觉链路实测约55～58帧/s。单帧处理时间P50约6.3～6.6 ms，P95约7.1～7.5 ms，P99约7.5～8.5 ms。处理耗时明显低于60帧/s对应的16.67 ms帧周期，说明算法计算量留有余量，能够为通信和系统调度保留时间。</w:t>
      </w:r>
    </w:p>
    <w:p>
      <w:pPr>
        <w:pStyle w:val="正文"/>
        <w:keepLines w:val="0"/>
        <w:ind w:firstLine="420"/>
        <w:jc w:val="both"/>
      </w:pPr>
      <w:r>
        <w:rPr>
          <w:rFonts w:ascii="Times New Roman" w:hAnsi="Times New Roman" w:eastAsia="宋体"/>
          <w:sz w:val="21"/>
        </w:rPr>
        <w:t>帧率统计应区分相机采集率、检测处理率、GUI刷新率和端到端输出率。本模块相机请求及实测约60帧/s，完整识别约55～58帧/s，GUI限帧20帧/s，Web预览限帧15帧/s，串口固定50 Hz。显示刷新较低是主动限载设计，不代表识别主链路仅以显示帧率运行。</w:t>
      </w:r>
    </w:p>
    <w:p>
      <w:pPr>
        <w:pStyle w:val="Heading2"/>
      </w:pPr>
      <w:r>
        <w:t>4.5 离线素材识别测试</w:t>
      </w:r>
    </w:p>
    <w:p>
      <w:pPr>
        <w:pStyle w:val="Heading3"/>
      </w:pPr>
      <w:r>
        <w:t>4.5.1 十二组动态标记素材测试</w:t>
      </w:r>
    </w:p>
    <w:p>
      <w:pPr>
        <w:pStyle w:val="正文"/>
        <w:keepLines w:val="0"/>
        <w:ind w:firstLine="420"/>
        <w:jc w:val="both"/>
      </w:pPr>
      <w:r>
        <w:rPr>
          <w:rFonts w:ascii="Times New Roman" w:hAnsi="Times New Roman" w:eastAsia="宋体"/>
          <w:sz w:val="21"/>
        </w:rPr>
        <w:t>在十二组旧动态素材上，左右端点与摆杆几何检测率达到100%；空槽素材未产生候选误检；多数带球素材的候选覆盖接近或达到100%，全范围压力素材候选覆盖为95.33%。各组处理耗时P95约1.79～2.21 ms。结果表明动态端点方案能够适应素材中的摆杆姿态变化，并具备较低的纯算法计算开销。</w:t>
      </w:r>
    </w:p>
    <w:p>
      <w:pPr>
        <w:pStyle w:val="Heading3"/>
      </w:pPr>
      <w:r>
        <w:t>4.5.2 与当前参考图匹配的六组素材测试</w:t>
      </w:r>
    </w:p>
    <w:p>
      <w:pPr>
        <w:pStyle w:val="正文"/>
        <w:keepLines w:val="0"/>
        <w:ind w:firstLine="420"/>
        <w:jc w:val="both"/>
      </w:pPr>
      <w:r>
        <w:rPr>
          <w:rFonts w:ascii="Times New Roman" w:hAnsi="Times New Roman" w:eastAsia="宋体"/>
          <w:sz w:val="21"/>
        </w:rPr>
        <w:t>为避免旧参考图与新场景之间的背景失配影响结论，进一步使用与当前低、中、高三幅空槽参考图匹配的六组素材进行验证。三组空槽共527帧，候选误检为0；三组带球共975帧，候选覆盖为100%；全部素材摆杆检测率为100%，处理耗时P95约1.91～2.14 ms。该组数据是当前正式参考配置下最直接的离线功能证据。</w:t>
      </w:r>
    </w:p>
    <w:p>
      <w:pPr>
        <w:keepNext/>
        <w:jc w:val="center"/>
      </w:pPr>
      <w:r>
        <w:rPr>
          <w:rFonts w:ascii="Times New Roman" w:hAnsi="Times New Roman" w:eastAsia="黑体"/>
          <w:b/>
          <w:sz w:val="21"/>
        </w:rPr>
        <w:t>表4-2 主要测试结果汇总</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测试项目</w:t>
            </w:r>
          </w:p>
        </w:tc>
        <w:tc>
          <w:tcPr>
            <w:tcW w:type="dxa" w:w="1984"/>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样本规模</w:t>
            </w:r>
          </w:p>
        </w:tc>
        <w:tc>
          <w:tcPr>
            <w:tcW w:type="dxa" w:w="28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主要结果</w:t>
            </w:r>
          </w:p>
        </w:tc>
        <w:tc>
          <w:tcPr>
            <w:tcW w:type="dxa" w:w="2835"/>
            <w:shd w:fill="D9EAF7"/>
            <w:vAlign w:val="center"/>
            <w:tcMar>
              <w:top w:w="80" w:type="dxa"/>
              <w:start w:w="90" w:type="dxa"/>
              <w:bottom w:w="80" w:type="dxa"/>
              <w:end w:w="90" w:type="dxa"/>
            </w:tcMar>
          </w:tcPr>
          <w:p>
            <w:pPr>
              <w:spacing w:after="0" w:before="0"/>
              <w:jc w:val="center"/>
            </w:pPr>
            <w:r>
              <w:rPr>
                <w:rFonts w:ascii="Times New Roman" w:hAnsi="Times New Roman" w:eastAsia="黑体"/>
                <w:b/>
                <w:sz w:val="16"/>
              </w:rPr>
              <w:t>解释</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软件测试</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211项</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211项全部通过，2.59 s</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验证软件功能与边界行为</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树莓派相机采集</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1807帧/30.10 s</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60.02帧/s；读取失败0</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验证正式采集模式稳定性</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树莓派完整链路</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多次实时运行</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约55～58帧/s；P95约7.1～7.5 ms</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验证嵌入式实时性</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十二组旧动态素材</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12组</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摆杆100%；全范围压力素材候选覆盖95.33%</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验证动态几何与广泛素材适应性</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当前参考匹配空槽</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527帧</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0候选误检；摆杆100%</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验证空槽抑制能力</w:t>
            </w:r>
          </w:p>
        </w:tc>
      </w:tr>
      <w:tr>
        <w:trPr>
          <w:cantSplit/>
        </w:trPr>
        <w:tc>
          <w:tcPr>
            <w:tcW w:type="dxa" w:w="2268"/>
            <w:vAlign w:val="center"/>
            <w:tcMar>
              <w:top w:w="80" w:type="dxa"/>
              <w:start w:w="90" w:type="dxa"/>
              <w:bottom w:w="80" w:type="dxa"/>
              <w:end w:w="90" w:type="dxa"/>
            </w:tcMar>
          </w:tcPr>
          <w:p>
            <w:pPr>
              <w:spacing w:after="0" w:before="0"/>
              <w:jc w:val="center"/>
            </w:pPr>
            <w:r>
              <w:rPr>
                <w:rFonts w:ascii="Times New Roman" w:hAnsi="Times New Roman" w:eastAsia="宋体"/>
                <w:sz w:val="16"/>
              </w:rPr>
              <w:t>当前参考匹配带球</w:t>
            </w:r>
          </w:p>
        </w:tc>
        <w:tc>
          <w:tcPr>
            <w:tcW w:type="dxa" w:w="1984"/>
            <w:vAlign w:val="center"/>
            <w:tcMar>
              <w:top w:w="80" w:type="dxa"/>
              <w:start w:w="90" w:type="dxa"/>
              <w:bottom w:w="80" w:type="dxa"/>
              <w:end w:w="90" w:type="dxa"/>
            </w:tcMar>
          </w:tcPr>
          <w:p>
            <w:pPr>
              <w:spacing w:after="0" w:before="0"/>
              <w:jc w:val="left"/>
            </w:pPr>
            <w:r>
              <w:rPr>
                <w:rFonts w:ascii="Times New Roman" w:hAnsi="Times New Roman" w:eastAsia="宋体"/>
                <w:sz w:val="16"/>
              </w:rPr>
              <w:t>975帧</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100%候选覆盖；摆杆100%</w:t>
            </w:r>
          </w:p>
        </w:tc>
        <w:tc>
          <w:tcPr>
            <w:tcW w:type="dxa" w:w="2835"/>
            <w:vAlign w:val="center"/>
            <w:tcMar>
              <w:top w:w="80" w:type="dxa"/>
              <w:start w:w="90" w:type="dxa"/>
              <w:bottom w:w="80" w:type="dxa"/>
              <w:end w:w="90" w:type="dxa"/>
            </w:tcMar>
          </w:tcPr>
          <w:p>
            <w:pPr>
              <w:spacing w:after="0" w:before="0"/>
              <w:jc w:val="left"/>
            </w:pPr>
            <w:r>
              <w:rPr>
                <w:rFonts w:ascii="Times New Roman" w:hAnsi="Times New Roman" w:eastAsia="宋体"/>
                <w:sz w:val="16"/>
              </w:rPr>
              <w:t>验证样本范围内候选连续性</w:t>
            </w:r>
          </w:p>
        </w:tc>
      </w:tr>
    </w:tbl>
    <w:p>
      <w:pPr>
        <w:spacing w:after="0"/>
      </w:pPr>
    </w:p>
    <w:p>
      <w:pPr>
        <w:pStyle w:val="Heading2"/>
      </w:pPr>
      <w:r>
        <w:t>4.6 异常样本与反向验证</w:t>
      </w:r>
    </w:p>
    <w:p>
      <w:pPr>
        <w:pStyle w:val="正文"/>
        <w:keepLines w:val="0"/>
        <w:ind w:firstLine="420"/>
        <w:jc w:val="both"/>
      </w:pPr>
      <w:r>
        <w:rPr>
          <w:rFonts w:ascii="Times New Roman" w:hAnsi="Times New Roman" w:eastAsia="宋体"/>
          <w:sz w:val="21"/>
        </w:rPr>
        <w:t>测试过程中发现，若使用与当前场景不匹配的参考图，或相机高度、目标姿态和参考采集条件发生明显变化，差分响应会出现结构残留，可能增加误检或降低候选质量。该现象说明参考图具有明确适用边界，也验证了多参考选择和重新标定机制的必要性。报告未采用已确认存在参考失配或采集条件异常的候选数据作为正式性能结论。</w:t>
      </w:r>
    </w:p>
    <w:p>
      <w:pPr>
        <w:pStyle w:val="正文"/>
        <w:keepLines w:val="0"/>
        <w:ind w:firstLine="420"/>
        <w:jc w:val="both"/>
      </w:pPr>
      <w:r>
        <w:rPr>
          <w:rFonts w:ascii="Times New Roman" w:hAnsi="Times New Roman" w:eastAsia="宋体"/>
          <w:sz w:val="21"/>
        </w:rPr>
        <w:t>空槽零误检和带球高候选覆盖必须同时成立，单独追求带球召回可能通过降低阈值引入大量空槽误检，单独追求空槽无响应又可能遗漏弱对比钢球。因此，当前参数以空槽安全性为前提，通过差分、梯度、暗体与跟踪联合实现平衡；现场换装或改变光学条件后必须重新执行空槽与带球双向验证。</w:t>
      </w:r>
    </w:p>
    <w:p>
      <w:pPr>
        <w:pStyle w:val="Heading2"/>
      </w:pPr>
      <w:r>
        <w:t>4.7 识别准确率与位置精度结论</w:t>
      </w:r>
    </w:p>
    <w:p>
      <w:pPr>
        <w:pStyle w:val="正文"/>
        <w:keepLines w:val="0"/>
        <w:ind w:firstLine="420"/>
        <w:jc w:val="both"/>
      </w:pPr>
      <w:r>
        <w:rPr>
          <w:rFonts w:ascii="Times New Roman" w:hAnsi="Times New Roman" w:eastAsia="宋体"/>
          <w:sz w:val="21"/>
        </w:rPr>
        <w:t>现有离线评估统计的是候选覆盖率和空槽候选误检情况，尚未对每帧钢球中心建立人工真值并计算中心误差、平均绝对误差或允许误差内命中率。因此，100%候选覆盖不能直接表述为100%严格识别准确率。当前证据能够说明算法在所测素材中持续生成了可用候选，但最终位置准确率仍应通过逐帧标注或标尺工装进行量化。</w:t>
      </w:r>
    </w:p>
    <w:p>
      <w:pPr>
        <w:pStyle w:val="正文"/>
        <w:keepLines w:val="0"/>
        <w:ind w:firstLine="420"/>
        <w:jc w:val="both"/>
      </w:pPr>
      <w:r>
        <w:rPr>
          <w:rFonts w:ascii="Times New Roman" w:hAnsi="Times New Roman" w:eastAsia="宋体"/>
          <w:sz w:val="21"/>
        </w:rPr>
        <w:t>位置标定已建立0～24.0 cm的物理量程，800像素条带对应的理论采样尺度约为0.30 mm/像素，但实际误差还受到端点定位、透视重采样、钢球中心提取、镜头畸变、机械安装和振动影响。现阶段不得据此宣称已达到±1 cm或更高的实测精度。建议整机阶段在多个已知位置采集静态与动态样本，统计最大误差、平均绝对误差、重复性和不同摆杆姿态下的误差分布。</w:t>
      </w:r>
    </w:p>
    <w:p>
      <w:pPr>
        <w:pStyle w:val="Heading2"/>
      </w:pPr>
      <w:r>
        <w:t>4.8 无线图传测试结论</w:t>
      </w:r>
    </w:p>
    <w:p>
      <w:pPr>
        <w:pStyle w:val="正文"/>
        <w:keepLines w:val="0"/>
        <w:ind w:firstLine="420"/>
        <w:jc w:val="both"/>
      </w:pPr>
      <w:r>
        <w:rPr>
          <w:rFonts w:ascii="Times New Roman" w:hAnsi="Times New Roman" w:eastAsia="宋体"/>
          <w:sz w:val="21"/>
        </w:rPr>
        <w:t>无线图传已完成软件接口和编码参数预留，但正式配置处于关闭状态，尚无足够证据证明其在最终车载网络、实际传输距离、遮挡、电磁干扰和持续运行条件下达到120 ms目标延迟。因此，无线图传不计入当前已验收功能。后续应在保持视觉主链路帧率的前提下，分别测试端到端延迟、丢包、画面连续性、带宽占用和断网恢复。</w:t>
      </w:r>
    </w:p>
    <w:p>
      <w:pPr>
        <w:pStyle w:val="Heading2"/>
      </w:pPr>
      <w:r>
        <w:t>4.9 最终测试结论</w:t>
      </w:r>
    </w:p>
    <w:p>
      <w:pPr>
        <w:pStyle w:val="正文"/>
        <w:keepLines w:val="0"/>
        <w:ind w:firstLine="420"/>
        <w:jc w:val="both"/>
      </w:pPr>
      <w:r>
        <w:rPr>
          <w:rFonts w:ascii="Times New Roman" w:hAnsi="Times New Roman" w:eastAsia="宋体"/>
          <w:sz w:val="21"/>
        </w:rPr>
        <w:t>综合软件测试、树莓派相机采集、完整视觉链路性能和离线素材评估结果，动态端点标记、透视归一化与一维融合检测方案实现了预定的软件功能边界。模块能够在摆杆姿态变化条件下重建检测条带，完成钢球候选检测、位置与速度估计、状态管理和50 Hz安全通信；树莓派端处理速度满足60帧/s相机输入下的实时运行需求，当前参考匹配素材中空槽误检和带球候选覆盖达到设计阶段目标。</w:t>
      </w:r>
    </w:p>
    <w:p>
      <w:pPr>
        <w:pStyle w:val="正文"/>
        <w:keepLines w:val="0"/>
        <w:ind w:firstLine="420"/>
        <w:jc w:val="both"/>
      </w:pPr>
      <w:r>
        <w:rPr>
          <w:rFonts w:ascii="Times New Roman" w:hAnsi="Times New Roman" w:eastAsia="宋体"/>
          <w:sz w:val="21"/>
        </w:rPr>
        <w:t>因此，可判定本视觉模块已满足当前阶段的算法功能、嵌入式实时性和接口设计要求，可进入整机联合调试。最终验收前仍需完成三项工作：第一，使用带物理真值的标尺或工装测量实际位置误差与重复性；第二，在车辆振动、机构运动和完整控制闭环条件下验证目标连续性及安全降级逻辑；第三，在正式网络环境中完成无线图传的端到端实机测试。上述未完成项应与现有已验证结果明确区分，避免将理论尺度、候选覆盖率或软件接口实现误写为整机性能结论。</w:t>
      </w:r>
    </w:p>
    <w:p>
      <w:pPr>
        <w:pStyle w:val="Heading1"/>
      </w:pPr>
      <w:r>
        <w:t>附：现场标定与验收要点</w:t>
      </w:r>
    </w:p>
    <w:p>
      <w:pPr>
        <w:pStyle w:val="正文"/>
        <w:ind w:left="420" w:hanging="420"/>
        <w:jc w:val="both"/>
      </w:pPr>
      <w:r>
        <w:rPr>
          <w:rFonts w:ascii="Times New Roman" w:hAnsi="Times New Roman" w:eastAsia="宋体"/>
          <w:b/>
          <w:sz w:val="21"/>
        </w:rPr>
        <w:t>（1）</w:t>
      </w:r>
      <w:r>
        <w:rPr>
          <w:rFonts w:ascii="Times New Roman" w:hAnsi="Times New Roman" w:eastAsia="宋体"/>
          <w:sz w:val="21"/>
        </w:rPr>
        <w:t>相机固定后先确认设备节点、640×480 MJPG 60帧/s模式和图像水平翻转方向，记录采集帧率与读取失败数。</w:t>
      </w:r>
    </w:p>
    <w:p>
      <w:pPr>
        <w:pStyle w:val="正文"/>
        <w:ind w:left="420" w:hanging="420"/>
        <w:jc w:val="both"/>
      </w:pPr>
      <w:r>
        <w:rPr>
          <w:rFonts w:ascii="Times New Roman" w:hAnsi="Times New Roman" w:eastAsia="宋体"/>
          <w:b/>
          <w:sz w:val="21"/>
        </w:rPr>
        <w:t>（2）</w:t>
      </w:r>
      <w:r>
        <w:rPr>
          <w:rFonts w:ascii="Times New Roman" w:hAnsi="Times New Roman" w:eastAsia="宋体"/>
          <w:sz w:val="21"/>
        </w:rPr>
        <w:t>分别检查左右端标记在全姿态范围内是否满足面积、圆度、黑环、双点距离和几何角度约束，避免反光或边缘结构形成稳定伪候选。</w:t>
      </w:r>
    </w:p>
    <w:p>
      <w:pPr>
        <w:pStyle w:val="正文"/>
        <w:ind w:left="420" w:hanging="420"/>
        <w:jc w:val="both"/>
      </w:pPr>
      <w:r>
        <w:rPr>
          <w:rFonts w:ascii="Times New Roman" w:hAnsi="Times New Roman" w:eastAsia="宋体"/>
          <w:b/>
          <w:sz w:val="21"/>
        </w:rPr>
        <w:t>（3）</w:t>
      </w:r>
      <w:r>
        <w:rPr>
          <w:rFonts w:ascii="Times New Roman" w:hAnsi="Times New Roman" w:eastAsia="宋体"/>
          <w:sz w:val="21"/>
        </w:rPr>
        <w:t>在低、中、高典型姿态下重新采集无钢球参考图，验证每幅参考与对应姿态的条带对齐，不使用手部遮挡、曝光异常或几何失效的图像作为正式参考。</w:t>
      </w:r>
    </w:p>
    <w:p>
      <w:pPr>
        <w:pStyle w:val="正文"/>
        <w:ind w:left="420" w:hanging="420"/>
        <w:jc w:val="both"/>
      </w:pPr>
      <w:r>
        <w:rPr>
          <w:rFonts w:ascii="Times New Roman" w:hAnsi="Times New Roman" w:eastAsia="宋体"/>
          <w:b/>
          <w:sz w:val="21"/>
        </w:rPr>
        <w:t>（4）</w:t>
      </w:r>
      <w:r>
        <w:rPr>
          <w:rFonts w:ascii="Times New Roman" w:hAnsi="Times New Roman" w:eastAsia="宋体"/>
          <w:sz w:val="21"/>
        </w:rPr>
        <w:t>先运行空槽测试，确认全行程和姿态变化过程中无候选误检；再运行带球测试，确认钢球从左至右全范围覆盖并检查端部排除区。</w:t>
      </w:r>
    </w:p>
    <w:p>
      <w:pPr>
        <w:pStyle w:val="正文"/>
        <w:ind w:left="420" w:hanging="420"/>
        <w:jc w:val="both"/>
      </w:pPr>
      <w:r>
        <w:rPr>
          <w:rFonts w:ascii="Times New Roman" w:hAnsi="Times New Roman" w:eastAsia="宋体"/>
          <w:b/>
          <w:sz w:val="21"/>
        </w:rPr>
        <w:t>（5）</w:t>
      </w:r>
      <w:r>
        <w:rPr>
          <w:rFonts w:ascii="Times New Roman" w:hAnsi="Times New Roman" w:eastAsia="宋体"/>
          <w:sz w:val="21"/>
        </w:rPr>
        <w:t>使用已知物理位置建立真值，至少覆盖左右端、中点及若干中间位置，统计静态误差、重复性和动态跟踪误差，不以条带像素尺度代替实际精度。</w:t>
      </w:r>
    </w:p>
    <w:p>
      <w:pPr>
        <w:pStyle w:val="正文"/>
        <w:ind w:left="420" w:hanging="420"/>
        <w:jc w:val="both"/>
      </w:pPr>
      <w:r>
        <w:rPr>
          <w:rFonts w:ascii="Times New Roman" w:hAnsi="Times New Roman" w:eastAsia="宋体"/>
          <w:b/>
          <w:sz w:val="21"/>
        </w:rPr>
        <w:t>（6）</w:t>
      </w:r>
      <w:r>
        <w:rPr>
          <w:rFonts w:ascii="Times New Roman" w:hAnsi="Times New Roman" w:eastAsia="宋体"/>
          <w:sz w:val="21"/>
        </w:rPr>
        <w:t>联调控制器时检查帧头、版本、长度、字节序、CRC、序号、时间戳和状态码；人工遮挡标记或钢球，确认控制器在LOST和CALIBRATION_INVALID状态下停止使用视觉闭环输入。</w:t>
      </w:r>
    </w:p>
    <w:p>
      <w:pPr>
        <w:pStyle w:val="正文"/>
        <w:ind w:left="420" w:hanging="420"/>
        <w:jc w:val="both"/>
      </w:pPr>
      <w:r>
        <w:rPr>
          <w:rFonts w:ascii="Times New Roman" w:hAnsi="Times New Roman" w:eastAsia="宋体"/>
          <w:b/>
          <w:sz w:val="21"/>
        </w:rPr>
        <w:t>（7）</w:t>
      </w:r>
      <w:r>
        <w:rPr>
          <w:rFonts w:ascii="Times New Roman" w:hAnsi="Times New Roman" w:eastAsia="宋体"/>
          <w:sz w:val="21"/>
        </w:rPr>
        <w:t>最后再启用Web、录像或无线图传，分别观察采集帧率、检测帧率、GUI帧率和端到端延迟，确保辅助输出不会反向阻塞核心识别与通信。</w:t>
      </w:r>
    </w:p>
    <w:sectPr w:rsidR="00FC693F" w:rsidRPr="0006063C" w:rsidSect="00034616">
      <w:headerReference w:type="default" r:id="rId9"/>
      <w:footerReference w:type="default" r:id="rId10"/>
      <w:pgSz w:w="11906" w:h="16838"/>
      <w:pgMar w:top="1332" w:right="1389" w:bottom="1276" w:left="1446"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B7B7B7"/>
      </w:pBdr>
    </w:pPr>
    <w:r>
      <w:rPr>
        <w:rFonts w:ascii="Times New Roman" w:hAnsi="Times New Roman" w:eastAsia="宋体"/>
        <w:color w:val="5A5A5A"/>
        <w:sz w:val="18"/>
      </w:rPr>
      <w:t>车载平衡滚球运动控制系统设计报告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76"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widowControl/>
      <w:spacing w:line="360" w:lineRule="auto" w:after="0"/>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视觉识别与钢球位置测量模块设计</dc:title>
  <dc:subject>车载平衡滚球运动控制系统电子设计竞赛技术报告</dc:subject>
  <dc:creator>项目组</dc:creator>
  <cp:keywords>视觉识别, 钢球定位, 动态标记, 透视归一化, 树莓派5</cp:keywords>
  <dc:description>generated by python-docx</dc:description>
  <cp:lastModifiedBy/>
  <cp:revision>1</cp:revision>
  <dcterms:created xsi:type="dcterms:W3CDTF">2013-12-23T23:15:00Z</dcterms:created>
  <dcterms:modified xsi:type="dcterms:W3CDTF">2013-12-23T23:15:00Z</dcterms:modified>
  <cp:category/>
</cp:coreProperties>
</file>