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lineRule="exact" w:line="520" w:before="0" w:after="160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车载平衡滚球运动控制系统（H题）</w:t>
      </w:r>
    </w:p>
    <w:p>
      <w:pPr>
        <w:keepNext/>
        <w:spacing w:lineRule="exact" w:line="520" w:before="0" w:after="8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摘  要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本设计面向H题车载平衡滚球运动控制系统，构建七路红外循迹底盘、动态视觉测量、串级平衡控制和分路电源系统。视觉端以动态端点重建800×64条带，融合空槽差分、暗体特征与Alpha-Beta跟踪，50 Hz输出钢球位置；平衡端结合位置PID、BMI088加速度前馈及M2006位置—速度双环；底盘采用四轮两驱差速结构和七路加权质心循迹。视觉软件211项测试全部通过，完整链路55～58帧/s，参考匹配素材空槽527帧零候选、带球975帧候选覆盖100%，理论单圈约16.7 s。系统架构、接口及软件已验证，钢球误差、停车偏差和整车圈时须以最终场地数据验收。</w:t>
      </w:r>
    </w:p>
    <w:p>
      <w:pPr>
        <w:keepNext w:val="0"/>
        <w:spacing w:lineRule="exact" w:line="440" w:before="80" w:after="0"/>
        <w:ind w:firstLine="0"/>
      </w:pPr>
      <w:r>
        <w:rPr>
          <w:rFonts w:ascii="Times New Roman" w:hAnsi="Times New Roman" w:eastAsia="黑体"/>
          <w:b/>
          <w:sz w:val="24"/>
        </w:rPr>
        <w:t>关键词：</w:t>
      </w:r>
      <w:r>
        <w:rPr>
          <w:rFonts w:ascii="Times New Roman" w:hAnsi="Times New Roman" w:eastAsia="宋体"/>
          <w:sz w:val="24"/>
        </w:rPr>
        <w:t>动态视觉；滚球平衡；串级控制；红外循迹；差速底盘</w:t>
      </w:r>
    </w:p>
    <w:p>
      <w:pPr>
        <w:sectPr>
          <w:headerReference w:type="default" r:id="rId15"/>
          <w:footerReference w:type="default" r:id="rId16"/>
          <w:pgSz w:w="11906" w:h="16838"/>
          <w:pgMar w:top="1701" w:right="1417" w:bottom="1417" w:left="1417" w:header="850" w:footer="709" w:gutter="0"/>
          <w:cols w:space="720"/>
          <w:docGrid w:type="lines" w:linePitch="312"/>
        </w:sectPr>
      </w:pPr>
    </w:p>
    <w:p>
      <w:pPr>
        <w:keepNext/>
        <w:spacing w:lineRule="exact" w:line="520" w:before="0" w:after="80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车载平衡滚球运动控制系统（H题）</w:t>
      </w: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一、系统方案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系统由循迹与底盘、视觉识别与图传、滚球平衡与摆杆执行、电源及人机交互组成。针对图像运算、毫秒级电机控制和10 ms循迹控制在资源与实时性上的差异，采用树莓派5、STM32F407和MSPM0G3507构成异构分布式控制架构。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1、主控制器件与电源方案的论证与选择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方案一采用单片机集中完成视觉、滚球和底盘控制，硬件简单但难以承担60帧/s图像处理；方案二采用单板计算机统一控制，图像能力充足但硬实时、PWM与故障隔离能力不足；方案三按任务时间尺度分配控制器：树莓派5处理OpenCV视觉及显示存储，STM32F407以1 kHz完成滚球与M2006串级控制，MSPM0G3507以100 Hz完成七路循迹、双编码器和计时显示。故选方案三。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电源方面，线性稳压损耗大，单路开关电源易使电机纹波耦合至相机和传感器；本设计采用3S锂电池形成约11.1 V动力母线，C610和底盘H桥由动力支路供电，独立降压形成5 V视觉/图传电源及3.3 V逻辑电源，各支路共地并配置保险、反接保护、储能电容与高频去耦。9.5 V持续300 ms触发欠压停机。该方案兼顾M2006现有12 V运行状态、树莓派瞬态负载和传感器低噪声要求。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2、视觉识别与图传方案的论证与选择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固定ROI方案计算量小，但摆杆转动或车体振动后会发生区域截断；YOLO等深度学习方案适应性强，但需大量标注样本，树莓派CPU部署开销较大，且检测框仍需轴向标定。最终采用动态端点标记、透视归一化和一维融合检测：左端单标记、右端双标记实时重建摆杆坐标系，将图像映射为800×64条带，再融合三姿态空槽参考差分、梯度和局部暗体响应。USB摄像头工作于640×480、MJPG、60帧/s；树莓派5兼顾识别、录像和网络预览。图传预留H.264/UDP 25帧/s、4 Mbit/s、GOP 30、端口5600和队列深度2，外部计算机负责显示、存储及回放。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3、滚球平衡与摆杆执行方案的论证与选择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单闭环位置PID实现简单，但小车加减速时只能在钢球位移后纠偏；LQR能综合多状态，然而对非对称连杆、摩擦和完整状态估计依赖较强。最终选择钢球位置PID、滚动动力学反算、BMI088纵向加速度前馈以及电机位置—速度双环的复合方案，使视觉反馈消除稳态偏差，前馈提前抵消底盘扰动，快慢环分离便于现场整定。执行机构比较舵机、有刷减速电机和M2006+C610后，选用36:1 M2006 P36无刷减速电机及C610电调；其8192计数编码器、CAN反馈和温度信息适合高频微调，连续转矩1 N·m，正常输出轴速度限制为±45 r/min。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4、循迹检测与底盘方案的论证与选择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线阵CCD能够提供连续灰度与曲率信息，但处理和曝光链路复杂，且题目明确规定循迹只能使用红外光电模块。故选七路反射式红外数字阵列，S1～S7横向布置，中间S4对准车体中心；多通道状态既可估计横向偏差，也可识别A点宽启停线。底盘采用四轮两驱差速结构，两只主动轮独立编码调速，两只万向轮承载随动，机械链短、四点支承稳定，适合两段1.5 m直线和半径0.5 m半圆弧组成的环形路线。驱动选用双路TB6612FNG类H桥，终点采用短路制动。</w:t>
      </w:r>
    </w:p>
    <w:p>
      <w:pPr>
        <w:keepNext/>
        <w:spacing w:lineRule="exact" w:line="360" w:before="4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表1  系统各子系统最终选型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247"/>
        <w:gridCol w:w="2324"/>
        <w:gridCol w:w="2381"/>
        <w:gridCol w:w="3118"/>
      </w:tblGrid>
      <w:tr>
        <w:trPr>
          <w:tblHeader w:val="true"/>
        </w:trPr>
        <w:tc>
          <w:tcPr>
            <w:tcW w:type="dxa" w:w="1247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子系统</w:t>
            </w:r>
          </w:p>
        </w:tc>
        <w:tc>
          <w:tcPr>
            <w:tcW w:type="dxa" w:w="2324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比较方案</w:t>
            </w:r>
          </w:p>
        </w:tc>
        <w:tc>
          <w:tcPr>
            <w:tcW w:type="dxa" w:w="2381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最终方案</w:t>
            </w:r>
          </w:p>
        </w:tc>
        <w:tc>
          <w:tcPr>
            <w:tcW w:type="dxa" w:w="3118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选型结论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控制器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单MCU/单板机/异构分布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树莓派5+STM32F407+MSPM0G3507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算力与实时控制分离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视觉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固定ROI/深度学习/动态几何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动态标记+归一化条带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实时、可解释、适应摆杆运动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平衡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单PID/LQR/串级复合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PID+逆动力学+IMU前馈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抗扰与调试效率兼顾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摆杆驱动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舵机/有刷H桥/M2006+C610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M2006 P36+C610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反馈完整、CAN抗干扰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循迹底盘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CCD/红外；舵向/差速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七路红外+四轮两驱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符合题目限制、支承稳定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电源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线性/单路DC-DC/分路DC-DC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3S母线+动力/5 V/3.3 V分路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降低动力噪声耦合</w:t>
            </w:r>
          </w:p>
        </w:tc>
      </w:tr>
    </w:tbl>
    <w:p>
      <w:pPr>
        <w:keepNext w:val="0"/>
        <w:spacing w:lineRule="exact" w:line="160" w:before="0" w:after="0"/>
        <w:ind w:firstLine="0"/>
      </w:pP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二、系统理论分析与计算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1、视觉测量原理与计算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设左右端点为P_L、P_R，右端双标记中心取两候选点均值；由端点差建立轴向单位向量u和法向量n，并用四点单应矩阵H把动态四边形映射为固定条带。端点距离限制430～610像素，摆杆角度限制±12°，帧间跳变不超过35像素；标记白阈值150，面积4～80 px²、圆度不低于0.38、长宽比不大于1.8、黑环比例不低于0.30，右端点距8～30像素、方向90°±35°。</w:t>
      </w:r>
    </w:p>
    <w:p>
      <w:pPr>
        <w:keepNext w:val="0"/>
        <w:keepLines/>
        <w:tabs>
          <w:tab w:pos="4535" w:val="center"/>
          <w:tab w:pos="8957" w:val="right"/>
        </w:tabs>
        <w:spacing w:before="40" w:after="40" w:line="240" w:lineRule="auto"/>
        <w:ind w:firstLine="0"/>
      </w:pPr>
      <w:r>
        <w:tab/>
      </w:r>
      <w:r>
        <m:oMath xmlns:mml="http://www.w3.org/1998/Math/MathML">
          <m:r>
            <m:t>u=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t>−</m:t>
              </m:r>
              <m:sSub>
                <m:e>
                  <m:r>
                    <m:t>P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∥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t>−</m:t>
              </m:r>
              <m:sSub>
                <m:e>
                  <m:r>
                    <m:t>P</m:t>
                  </m:r>
                </m:e>
                <m:sub>
                  <m:r>
                    <m:t>L</m:t>
                  </m:r>
                </m:sub>
              </m:sSub>
              <m:r>
                <m:t>∥</m:t>
              </m:r>
            </m:den>
          </m:f>
          <m:r>
            <m:t>,</m:t>
          </m:r>
          <m:r>
            <m:t>n=(−</m:t>
          </m:r>
          <m:sSub>
            <m:e>
              <m:r>
                <m:t>u</m:t>
              </m:r>
            </m:e>
            <m:sub>
              <m:r>
                <m:t>y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x</m:t>
              </m:r>
            </m:sub>
          </m:sSub>
          <m:r>
            <m:t>)</m:t>
          </m:r>
        </m:oMath>
      </w:r>
      <w:r>
        <w:rPr>
          <w:rFonts w:ascii="Times New Roman" w:hAnsi="Times New Roman" w:eastAsia="宋体"/>
          <w:sz w:val="21"/>
        </w:rPr>
        <w:tab/>
        <w:t>（2-1）</w:t>
      </w:r>
    </w:p>
    <w:p>
      <w:pPr>
        <w:keepNext w:val="0"/>
        <w:keepLines/>
        <w:tabs>
          <w:tab w:pos="4535" w:val="center"/>
          <w:tab w:pos="8957" w:val="right"/>
        </w:tabs>
        <w:spacing w:before="40" w:after="40" w:line="240" w:lineRule="auto"/>
        <w:ind w:firstLine="0"/>
      </w:pPr>
      <w:r>
        <w:tab/>
      </w:r>
      <w:r>
        <m:oMath xmlns:mml="http://www.w3.org/1998/Math/MathML">
          <m:r>
            <m:t>λ</m:t>
          </m:r>
          <m:sSup>
            <m:e>
              <m:r>
                <m:t>p</m:t>
              </m:r>
            </m:e>
            <m:sup>
              <m:r>
                <m:t>′</m:t>
              </m:r>
            </m:sup>
          </m:sSup>
          <m:r>
            <m:t>=Hp</m:t>
          </m:r>
        </m:oMath>
      </w:r>
      <w:r>
        <w:rPr>
          <w:rFonts w:ascii="Times New Roman" w:hAnsi="Times New Roman" w:eastAsia="宋体"/>
          <w:sz w:val="21"/>
        </w:rPr>
        <w:tab/>
        <w:t>（2-2）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钢球检测将灰度差分与梯度差分按1.0:0.65融合，9像素平滑后筛选峰值18、峰宽8～80像素和跟踪半径120像素；局部暗度路径采用101像素基线核、阈值8.0和3～60像素峰宽作为参考失配时的补充。低、中、高参考摆杆长度为501.88、558.79、589.59像素。钢球中心投影到摆杆轴后，以t_left=0.9495781064、t_right=0.0514231734换算24.0 cm有效行程，理论采样尺度约0.30 mm/像素。</w:t>
      </w:r>
    </w:p>
    <w:p>
      <w:pPr>
        <w:keepNext w:val="0"/>
        <w:keepLines/>
        <w:tabs>
          <w:tab w:pos="4535" w:val="center"/>
          <w:tab w:pos="8957" w:val="right"/>
        </w:tabs>
        <w:spacing w:before="40" w:after="40" w:line="240" w:lineRule="auto"/>
        <w:ind w:firstLine="0"/>
      </w:pPr>
      <w:r>
        <w:tab/>
      </w:r>
      <w:r>
        <m:oMath xmlns:mml="http://www.w3.org/1998/Math/MathML">
          <m:r>
            <m:t>t=</m:t>
          </m:r>
          <m:f>
            <m:fPr>
              <m:type m:val="bar"/>
            </m:fPr>
            <m:num>
              <m:r>
                <m:t>(</m:t>
              </m:r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  <m:r>
                <m:t>−</m:t>
              </m:r>
              <m:sSub>
                <m:e>
                  <m:r>
                    <m:t>P</m:t>
                  </m:r>
                </m:e>
                <m:sub>
                  <m:r>
                    <m:t>L</m:t>
                  </m:r>
                </m:sub>
              </m:sSub>
              <m:r>
                <m:t>)·(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t>−</m:t>
              </m:r>
              <m:sSub>
                <m:e>
                  <m:r>
                    <m:t>P</m:t>
                  </m:r>
                </m:e>
                <m:sub>
                  <m:r>
                    <m:t>L</m:t>
                  </m:r>
                </m:sub>
              </m:sSub>
              <m:r>
                <m:t>)</m:t>
              </m:r>
            </m:num>
            <m:den>
              <m:sSup>
                <m:e>
                  <m:r>
                    <m:t>∥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∥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,</m:t>
          </m:r>
          <m:r>
            <m:t>x=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eff</m:t>
              </m:r>
            </m:sub>
          </m:sSub>
          <m:f>
            <m:fPr>
              <m:type m:val="bar"/>
            </m:fPr>
            <m:num>
              <m:r>
                <m:t>t−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left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right</m:t>
                  </m:r>
                </m:sub>
              </m:sSub>
              <m:r>
                <m:t>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left</m:t>
                  </m:r>
                </m:sub>
              </m:sSub>
            </m:den>
          </m:f>
        </m:oMath>
      </w:r>
      <w:r>
        <w:rPr>
          <w:rFonts w:ascii="Times New Roman" w:hAnsi="Times New Roman" w:eastAsia="宋体"/>
          <w:sz w:val="21"/>
        </w:rPr>
        <w:tab/>
        <w:t>（2-3）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Alpha-Beta跟踪器取α=0.75、β=0.12，依据恒速度模型校正位置和速度；漏检不超过3帧时输出PREDICTED，超限即LOST。该处理提高连续性，但预测状态不能等同直接检测。</w:t>
      </w:r>
    </w:p>
    <w:p>
      <w:pPr>
        <w:keepNext w:val="0"/>
        <w:keepLines/>
        <w:tabs>
          <w:tab w:pos="4535" w:val="center"/>
          <w:tab w:pos="8957" w:val="right"/>
        </w:tabs>
        <w:spacing w:before="40" w:after="40" w:line="240" w:lineRule="auto"/>
        <w:ind w:firstLine="0"/>
      </w:pPr>
      <w:r>
        <w:tab/>
      </w:r>
      <w:r>
        <m:oMath xmlns:mml="http://www.w3.org/1998/Math/MathML">
          <m:sSup>
            <m:e>
              <m:limUpp>
                <m:e>
                  <m:r>
                    <m:t>x</m:t>
                  </m:r>
                </m:e>
                <m:lim>
                  <m:r>
                    <m:t>^</m:t>
                  </m:r>
                </m:lim>
              </m:limUpp>
            </m:e>
            <m:sup>
              <m:r>
                <m:t>−</m:t>
              </m:r>
            </m:sup>
          </m:sSup>
          <m:sSub>
            <m:e/>
            <m:sub>
              <m:r>
                <m:t>k</m:t>
              </m:r>
            </m:sub>
          </m:sSub>
          <m:r>
            <m:t>=</m:t>
          </m:r>
          <m:sSub>
            <m:e>
              <m:limUpp>
                <m:e>
                  <m:r>
                    <m:t>x</m:t>
                  </m:r>
                </m:e>
                <m:lim>
                  <m:r>
                    <m:t>^</m:t>
                  </m:r>
                </m:lim>
              </m:limUpp>
            </m:e>
            <m:sub>
              <m:r>
                <m:t>k−1</m:t>
              </m:r>
            </m:sub>
          </m:sSub>
          <m:r>
            <m:t>+</m:t>
          </m:r>
          <m:sSub>
            <m:e>
              <m:limUpp>
                <m:e>
                  <m:r>
                    <m:t>v</m:t>
                  </m:r>
                </m:e>
                <m:lim>
                  <m:r>
                    <m:t>^</m:t>
                  </m:r>
                </m:lim>
              </m:limUpp>
            </m:e>
            <m:sub>
              <m:r>
                <m:t>k−1</m:t>
              </m:r>
            </m:sub>
          </m:sSub>
          <m:r>
            <m:rPr>
              <m:sty m:val="p"/>
            </m:rPr>
            <m:t>Δt</m:t>
          </m:r>
          <m:r>
            <m:t>,</m:t>
          </m:r>
          <m:sSub>
            <m:e>
              <m:limUpp>
                <m:e>
                  <m:r>
                    <m:t>x</m:t>
                  </m:r>
                </m:e>
                <m:lim>
                  <m:r>
                    <m:t>^</m:t>
                  </m:r>
                </m:lim>
              </m:limUpp>
            </m:e>
            <m:sub>
              <m:r>
                <m:t>k</m:t>
              </m:r>
            </m:sub>
          </m:sSub>
          <m:r>
            <m:t>=</m:t>
          </m:r>
          <m:sSup>
            <m:e>
              <m:limUpp>
                <m:e>
                  <m:r>
                    <m:t>x</m:t>
                  </m:r>
                </m:e>
                <m:lim>
                  <m:r>
                    <m:t>^</m:t>
                  </m:r>
                </m:lim>
              </m:limUpp>
            </m:e>
            <m:sup>
              <m:r>
                <m:t>−</m:t>
              </m:r>
            </m:sup>
          </m:sSup>
          <m:sSub>
            <m:e/>
            <m:sub>
              <m:r>
                <m:t>k</m:t>
              </m:r>
            </m:sub>
          </m:sSub>
          <m:r>
            <m:t>+α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</m:oMath>
      </w:r>
      <w:r>
        <w:rPr>
          <w:rFonts w:ascii="Times New Roman" w:hAnsi="Times New Roman" w:eastAsia="宋体"/>
          <w:sz w:val="21"/>
        </w:rPr>
        <w:tab/>
        <w:t>（2-4）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2、滚球平衡与电机串级控制计算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钢球近似为均匀实心球，在凹槽内无滑动滚动。设钢球轴向位置为x、摆杆角为θ、小车纵向加速度为a_c，则平动与转动惯量共同形成5/7等效系数。</w:t>
      </w:r>
    </w:p>
    <w:p>
      <w:pPr>
        <w:keepNext w:val="0"/>
        <w:keepLines/>
        <w:tabs>
          <w:tab w:pos="4535" w:val="center"/>
          <w:tab w:pos="8957" w:val="right"/>
        </w:tabs>
        <w:spacing w:before="40" w:after="40" w:line="240" w:lineRule="auto"/>
        <w:ind w:firstLine="0"/>
      </w:pPr>
      <w:r>
        <w:tab/>
      </w:r>
      <w:r>
        <m:oMath xmlns:mml="http://www.w3.org/1998/Math/MathML">
          <m:limUpp>
            <m:e>
              <m:r>
                <m:t>x</m:t>
              </m:r>
            </m:e>
            <m:lim>
              <m:r>
                <m:t>¨</m:t>
              </m:r>
            </m:lim>
          </m:limUpp>
          <m:r>
            <m:t>=−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7</m:t>
              </m:r>
            </m:den>
          </m:f>
          <m:r>
            <m:t>(g</m:t>
          </m:r>
          <m:r>
            <m:rPr>
              <m:sty m:val="p"/>
            </m:rPr>
            <m:t>sin</m:t>
          </m:r>
          <m:r>
            <m:t>θ+</m:t>
          </m:r>
          <m:sSub>
            <m:e>
              <m:r>
                <m:t>a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cos</m:t>
          </m:r>
          <m:r>
            <m:t>θ)</m:t>
          </m:r>
        </m:oMath>
      </w:r>
      <w:r>
        <w:rPr>
          <w:rFonts w:ascii="Times New Roman" w:hAnsi="Times New Roman" w:eastAsia="宋体"/>
          <w:sz w:val="21"/>
        </w:rPr>
        <w:tab/>
        <w:t>（2-5）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位置外环按目标位置与视觉位置之差产生目标加速度，参数K_px=4.0、K_ix=0.35、K_dx=2.2，积分限幅0.35 m/s²、输出限幅1.5 m/s²，速度低通12 Hz、微分低通10 Hz。忽略小积分项时，自然频率2 rad/s、阻尼比0.55，理论2%调节时间约3.64 s、峰值超调约12.6%，与题目5 s往返要求具有理论一致性。</w:t>
      </w:r>
    </w:p>
    <w:p>
      <w:pPr>
        <w:keepNext w:val="0"/>
        <w:keepLines/>
        <w:tabs>
          <w:tab w:pos="4535" w:val="center"/>
          <w:tab w:pos="8957" w:val="right"/>
        </w:tabs>
        <w:spacing w:before="40" w:after="40" w:line="240" w:lineRule="auto"/>
        <w:ind w:firstLine="0"/>
      </w:pPr>
      <w:r>
        <w:tab/>
      </w:r>
      <w:r>
        <m:oMath xmlns:mml="http://www.w3.org/1998/Math/MathML">
          <m:sSub>
            <m:e>
              <m:r>
                <m:t>a</m:t>
              </m:r>
            </m:e>
            <m:sub>
              <m:r>
                <m:t>d</m:t>
              </m:r>
            </m:sub>
          </m:sSub>
          <m: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px</m:t>
              </m:r>
            </m:sub>
          </m:sSub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+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ix</m:t>
              </m:r>
            </m:sub>
          </m:sSub>
          <m:r>
            <m:t>∫</m:t>
          </m:r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dt</m:t>
          </m:r>
          <m: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dx</m:t>
              </m:r>
            </m:sub>
          </m:sSub>
          <m:sSub>
            <m:e>
              <m:limUpp>
                <m:e>
                  <m:r>
                    <m:t>x</m:t>
                  </m:r>
                </m:e>
                <m:lim>
                  <m:r>
                    <m:t>˙</m:t>
                  </m:r>
                </m:lim>
              </m:limUpp>
            </m:e>
            <m:sub>
              <m:r>
                <m:t>f</m:t>
              </m:r>
            </m:sub>
          </m:sSub>
        </m:oMath>
      </w:r>
      <w:r>
        <w:rPr>
          <w:rFonts w:ascii="Times New Roman" w:hAnsi="Times New Roman" w:eastAsia="宋体"/>
          <w:sz w:val="21"/>
        </w:rPr>
        <w:tab/>
        <w:t>（2-6）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由动力学逆解得到摆杆目标角，并叠加BMI088纵向加速度前馈。目标角限幅±4.5°，静止平台最大钢球加速度约0.550 m/s²，可完整抵消的纵向加速度约±0.772 m/s²。BMI088采用8 Hz低通，时间常数约19.9 ms，上电1000点零偏标定约1 s。</w:t>
      </w:r>
    </w:p>
    <w:p>
      <w:pPr>
        <w:keepNext w:val="0"/>
        <w:keepLines/>
        <w:tabs>
          <w:tab w:pos="4535" w:val="center"/>
          <w:tab w:pos="8957" w:val="right"/>
        </w:tabs>
        <w:spacing w:before="40" w:after="40" w:line="240" w:lineRule="auto"/>
        <w:ind w:firstLine="0"/>
      </w:pPr>
      <w:r>
        <w:tab/>
      </w:r>
      <w:r>
        <m:oMath xmlns:mml="http://www.w3.org/1998/Math/MathML">
          <m:sSub>
            <m:e>
              <m:r>
                <m:t>θ</m:t>
              </m:r>
            </m:e>
            <m:sub>
              <m:r>
                <m:t>d</m:t>
              </m:r>
            </m:sub>
          </m:sSub>
          <m:r>
            <m:t>=</m:t>
          </m:r>
          <m:r>
            <m:rPr>
              <m:sty m:val="p"/>
            </m:rPr>
            <m:t>arcsin</m:t>
          </m:r>
          <m:r>
            <m:t>(</m:t>
          </m:r>
          <m:f>
            <m:fPr>
              <m:type m:val="bar"/>
            </m:fPr>
            <m:num>
              <m:r>
                <m:t>−</m:t>
              </m:r>
              <m:sSub>
                <m:e>
                  <m:r>
                    <m:t>a</m:t>
                  </m:r>
                </m:e>
                <m:sub>
                  <m:r>
                    <m:t>d</m:t>
                  </m:r>
                </m:sub>
              </m:sSub>
            </m:num>
            <m:den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7</m:t>
                  </m:r>
                </m:den>
              </m:f>
              <m:rad>
                <m:radPr>
                  <m:degHide m:val="on"/>
                </m:radPr>
                <m:deg/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</m:t>
                  </m:r>
                  <m:s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t>)−</m:t>
          </m:r>
          <m:r>
            <m:rPr>
              <m:sty m:val="p"/>
            </m:rPr>
            <m:t>arctan</m:t>
          </m:r>
          <m:r>
            <m:t>(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f</m:t>
                  </m:r>
                </m:sub>
              </m:sSub>
            </m:num>
            <m:den>
              <m:r>
                <m:t>g</m:t>
              </m:r>
            </m:den>
          </m:f>
          <m:r>
            <m:t>)</m:t>
          </m:r>
        </m:oMath>
      </w:r>
      <w:r>
        <w:rPr>
          <w:rFonts w:ascii="Times New Roman" w:hAnsi="Times New Roman" w:eastAsia="宋体"/>
          <w:sz w:val="21"/>
        </w:rPr>
        <w:tab/>
        <w:t>（2-7）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M2006转子编码器0～8191计数，经36:1减速后每计数对应输出轴0.0012207°。实测水平累计值4552，右端最低13760（相对+11.240234°），右端最高2145（相对−2.938232°）；采用分段线性插值描述非对称连杆，±4.5°软限位对应电机约+10.1162°至−2.6444°。位置PD参数7.0/0/0.12，速度限幅±45 r/min；速度PI参数1.2/8.0/0，积分限幅1200、电流指令限幅±2500、最小有效值160，积分时间常数0.15 s。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3、循迹、差速运动学与圈时计算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七路状态b_i对应权值+50、+33、+16、0、−16、−33、−50。有效通道数为n时，按加权质心计算路径偏差；外环PID取K_p=0.9、K_i=0.05、K_d=0.2，并以0.04倍MPU6050 Z轴角速度形成偏航阻尼，修正量限幅±30计数。左右速度内环参数分别为180/0.35/26和180/0.28/18，PWM限幅±3199，频率约10 kHz。</w:t>
      </w:r>
    </w:p>
    <w:p>
      <w:pPr>
        <w:keepNext w:val="0"/>
        <w:keepLines/>
        <w:tabs>
          <w:tab w:pos="4535" w:val="center"/>
          <w:tab w:pos="8957" w:val="right"/>
        </w:tabs>
        <w:spacing w:before="40" w:after="40" w:line="240" w:lineRule="auto"/>
        <w:ind w:firstLine="0"/>
      </w:pPr>
      <w:r>
        <w:tab/>
      </w:r>
      <w:r>
        <m:oMath xmlns:mml="http://www.w3.org/1998/Math/MathML">
          <m:r>
            <m:t>e=</m:t>
          </m:r>
          <m:f>
            <m:fPr>
              <m:type m:val="bar"/>
            </m:fPr>
            <m:num>
              <m:r>
                <m:t>∑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n</m:t>
              </m:r>
            </m:den>
          </m:f>
          <m:r>
            <m:t>,</m:t>
          </m:r>
          <m:r>
            <m:t>v=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  <m:r>
                <m:t>+</m:t>
              </m:r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2</m:t>
              </m:r>
            </m:den>
          </m:f>
          <m:r>
            <m:t>,</m:t>
          </m:r>
          <m:r>
            <m:t>ω=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  <m:r>
                <m:t>−</m:t>
              </m:r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B</m:t>
              </m:r>
            </m:den>
          </m:f>
        </m:oMath>
      </w:r>
      <w:r>
        <w:rPr>
          <w:rFonts w:ascii="Times New Roman" w:hAnsi="Times New Roman" w:eastAsia="宋体"/>
          <w:sz w:val="21"/>
        </w:rPr>
        <w:tab/>
        <w:t>（2-8）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轨道中心线长度为3+π≈6.142 m。五次整圈编码器中值为左49712、右39741计数，巡航目标31计数/10 ms对应名义0.431 m/s；采用1.30 s平滑加速、圈进度86%～97%减速及末段11计数/10 ms（约0.153 m/s）的速度规划，离散推算单圈约16.7 s，理论上低于20 s要求。A点离开确认5周期、最短运行100周期、回到启停线连续2周期确认，抑制起点误判。</w:t>
      </w: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三、电路与程序设计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1、系统总体框图与整体工作流程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按键启动后，循迹控制器开始10 ms计时并驱动底盘；视觉端持续采集摆杆与钢球图像，形成带状态和时间戳的位置帧；平衡控制器仅在CRC、序号、时效和状态有效时更新钢球外环，同时读取BMI088和M2006反馈，经角度反算及双环控制向C610下发电流。回到A点后底盘短刹并停止计时；任何关键故障均撤销相应驱动输出。系统总体框图如图1所示。</w:t>
      </w:r>
    </w:p>
    <w:tbl>
      <w:tblPr>
        <w:tblW w:type="dxa" w:w="8505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USB摄像头</w:t>
              <w:br/>
              <w:t>动态端点与钢球图像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树莓派5</w:t>
              <w:br/>
              <w:t>视觉测量/录像/图传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外部接收显示存储装置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↓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USB CDC 50 Hz</w:t>
              <w:br/>
              <w:t>24字节+CRC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↑ UDP/H.264预留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七路红外+双编码器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STM32F407</w:t>
              <w:br/>
              <w:t>滚球平衡控制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M2006+C610</w:t>
              <w:br/>
              <w:t>摆杆执行机构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↓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BMI088加速度前馈</w:t>
              <w:br/>
              <w:t>CAN 1 Mbit/s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↑ 编码器/速度/温度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MSPM0G3507</w:t>
              <w:br/>
              <w:t>循迹、计时、显示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四轮两驱差速底盘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3S电池与分路电源</w:t>
            </w:r>
          </w:p>
        </w:tc>
      </w:tr>
    </w:tbl>
    <w:p>
      <w:pPr>
        <w:keepNext w:val="0"/>
        <w:spacing w:lineRule="exact" w:line="160" w:before="0" w:after="0"/>
        <w:ind w:firstLine="0"/>
      </w:pPr>
    </w:p>
    <w:p>
      <w:pPr>
        <w:keepNext/>
        <w:spacing w:lineRule="exact" w:line="360" w:before="40" w:after="40"/>
        <w:ind w:firstLine="0"/>
        <w:jc w:val="center"/>
      </w:pPr>
      <w:r>
        <w:rPr>
          <w:rFonts w:ascii="Times New Roman" w:hAnsi="Times New Roman" w:eastAsia="宋体"/>
          <w:sz w:val="21"/>
        </w:rPr>
        <w:t>图1  系统总体框图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2、子系统硬件电路设计</w:t>
      </w:r>
    </w:p>
    <w:p>
      <w:pPr>
        <w:pStyle w:val="3"/>
      </w:pPr>
      <w:r>
        <w:rPr>
          <w:rFonts w:ascii="Times New Roman" w:hAnsi="Times New Roman" w:eastAsia="宋体"/>
          <w:b/>
          <w:sz w:val="24"/>
        </w:rPr>
        <w:t>（1）视觉识别与图传电路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USB摄像头接树莓派5的USB主机口，固定曝光值157、亮度4并关闭动态帧率，以保持参考差分条件稳定。树莓派通过USB Device CDC与STM32F407连接，辅助显示、录像和图传采用有界队列，避免网络或存储阻塞识别线程。摄像头和图传发送端牢固安装于车体，画面覆盖完整25 cm摆杆；接收计算机置于线路外完成实时显示、存储和回放。</w:t>
      </w:r>
    </w:p>
    <w:p>
      <w:pPr>
        <w:pStyle w:val="3"/>
      </w:pPr>
      <w:r>
        <w:rPr>
          <w:rFonts w:ascii="Times New Roman" w:hAnsi="Times New Roman" w:eastAsia="宋体"/>
          <w:b/>
          <w:sz w:val="24"/>
        </w:rPr>
        <w:t>（2）滚球平衡与电机驱动电路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STM32F407以SPI1约2.625 MHz读取BMI088，以CAN1 1 Mbit/s连接C610，电机ID为1。控制命令标准帧ID为0x200，反馈ID为0x201；反馈包含编码器、转速、电流和温度。ADC3以100 Hz采集电池电压。CAN端配置匹配的收发器、终端和可靠共地，电机动力线与USB、SPI及传感器线分离。摆杆左端铰接高度不低于5 cm，右端由连杆机构驱动，并设置机械实体挡块。</w:t>
      </w:r>
    </w:p>
    <w:p>
      <w:pPr>
        <w:pStyle w:val="3"/>
      </w:pPr>
      <w:r>
        <w:rPr>
          <w:rFonts w:ascii="Times New Roman" w:hAnsi="Times New Roman" w:eastAsia="宋体"/>
          <w:b/>
          <w:sz w:val="24"/>
        </w:rPr>
        <w:t>（3）循迹与底盘电路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MSPM0G3507系统时钟32 MHz，S1～S7接PB12～PB18并内部上拉；左编码器由TIMG8硬件QEI采集，右编码器由PB10/PB11双边沿中断解码。TIMA0两通道输出约10 kHz PWM至TB6612FNG，STBY独立控制；MPU6050经I2C1 100 kHz连接，SSD1306 128×64 OLED采用GPIO开漏模拟I2C，显示时间、圈次和里程。所有MCU输入均限制在3.3 V以内。</w:t>
      </w:r>
    </w:p>
    <w:p>
      <w:pPr>
        <w:pStyle w:val="3"/>
      </w:pPr>
      <w:r>
        <w:rPr>
          <w:rFonts w:ascii="Times New Roman" w:hAnsi="Times New Roman" w:eastAsia="宋体"/>
          <w:b/>
          <w:sz w:val="24"/>
        </w:rPr>
        <w:t>（4）电源与抗干扰电路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3S电池经总开关、保险与反接保护后分为动力和逻辑支路；M2006/C610与底盘电机端就近配置储能及高频去耦，树莓派和摄像头采用独立5 V大电流降压，MCU与传感器采用低纹波5 V/3.3 V支路。各支路单点汇接，共模地线短而粗；USB、编码器和I2C线远离H桥开关节点。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3、程序设计、通信协议与异常保护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视觉程序依次执行端点检测、几何校验、条带重建、候选融合、位置标定、Alpha-Beta跟踪及50 Hz发送；滚球程序执行视觉帧解析、模式状态机、位置PID、前馈反算、三点标定、位置环、速度环与安全判定；底盘程序每10 ms完成编码器增量、七路采样、速度规划、循迹PID、双轮速度PID及启停线状态机。非关键OLED、GUI、Web和录像均采用降级或限帧策略。</w:t>
      </w:r>
    </w:p>
    <w:p>
      <w:pPr>
        <w:keepNext/>
        <w:spacing w:lineRule="exact" w:line="360" w:before="4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表2  关键接口与协议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304"/>
        <w:gridCol w:w="1984"/>
        <w:gridCol w:w="3231"/>
        <w:gridCol w:w="2551"/>
      </w:tblGrid>
      <w:tr>
        <w:trPr>
          <w:tblHeader w:val="true"/>
        </w:trPr>
        <w:tc>
          <w:tcPr>
            <w:tcW w:type="dxa" w:w="1304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接口</w:t>
            </w:r>
          </w:p>
        </w:tc>
        <w:tc>
          <w:tcPr>
            <w:tcW w:type="dxa" w:w="1984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配置</w:t>
            </w:r>
          </w:p>
        </w:tc>
        <w:tc>
          <w:tcPr>
            <w:tcW w:type="dxa" w:w="3231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数据内容</w:t>
            </w:r>
          </w:p>
        </w:tc>
        <w:tc>
          <w:tcPr>
            <w:tcW w:type="dxa" w:w="2551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有效性与失效处理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视觉→平衡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USB CDC，115200-8N1显示参数，50 Hz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24字节小端；头A5 5A、版本1、序号、时间戳、位置0.1 mm/LSB、速度、置信度、状态、CRC-16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预测最多100 ms且权重50%；150 ms超时；无效位置−32768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平衡→C610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CAN1，1 Mbit/s，ID 0x200/0x201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电流命令；编码器、转速、反馈电流、温度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反馈100 ms超时停机；80 ℃过温锁存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循迹采集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GPIO/QEI，100 Hz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7位黑线状态、双轮增量、启停按键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脱线1周期撤销PWM；终点连续2周期确认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图传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H.264/UDP，25帧/s，4 Mbit/s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覆盖摆杆的实时视频，端口5600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队列2优先低延迟；断网不阻塞视觉主链路</w:t>
            </w:r>
          </w:p>
        </w:tc>
      </w:tr>
    </w:tbl>
    <w:p>
      <w:pPr>
        <w:keepNext w:val="0"/>
        <w:spacing w:lineRule="exact" w:line="160" w:before="0" w:after="0"/>
        <w:ind w:firstLine="0"/>
      </w:pPr>
    </w:p>
    <w:p>
      <w:pPr>
        <w:keepNext/>
        <w:spacing w:lineRule="exact" w:line="360" w:before="4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表3  关键参数配置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134"/>
        <w:gridCol w:w="2154"/>
        <w:gridCol w:w="3572"/>
        <w:gridCol w:w="2211"/>
      </w:tblGrid>
      <w:tr>
        <w:trPr>
          <w:tblHeader w:val="true"/>
        </w:trPr>
        <w:tc>
          <w:tcPr>
            <w:tcW w:type="dxa" w:w="1134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模块</w:t>
            </w:r>
          </w:p>
        </w:tc>
        <w:tc>
          <w:tcPr>
            <w:tcW w:type="dxa" w:w="2154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采样/范围</w:t>
            </w:r>
          </w:p>
        </w:tc>
        <w:tc>
          <w:tcPr>
            <w:tcW w:type="dxa" w:w="3572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控制或检测参数</w:t>
            </w:r>
          </w:p>
        </w:tc>
        <w:tc>
          <w:tcPr>
            <w:tcW w:type="dxa" w:w="2211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保护与资源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视觉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640×480@60；条带800×64；有效行程0～240 mm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差分权重1/0.65；峰阈值18；峰宽8～80；α/β=0.75/0.12；串口50 Hz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左右端保持2/3帧；球漏检3帧；写超时0.02 s；重连1 s；录像/图传队列8/2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平衡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控制1 kHz；角度±4.5°；速度±45 r/min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球PID 4.0/0.35/2.2；位置PD 7/0/0.12；速度PI 1.2/8；电流±2500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视觉150 ms；CAN100 ms；IMU30 ms；9.5 V/300 ms；80 ℃；Flash 40.8 kB、RAM 10.2 kB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底盘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控制100 Hz；PWM约10 kHz；计时0.01 s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循迹0.9/0.05/0.2；左右速度180/0.35/26、180/0.28/18；巡航31计数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脱线停机；STBY关断；I2C/OLED自动恢复；Flash 22344 B、SRAM 4507 B</w:t>
            </w:r>
          </w:p>
        </w:tc>
      </w:tr>
    </w:tbl>
    <w:p>
      <w:pPr>
        <w:keepNext w:val="0"/>
        <w:spacing w:lineRule="exact" w:line="160" w:before="0" w:after="0"/>
        <w:ind w:firstLine="0"/>
      </w:pP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异常保护包括：视觉CRC、长度、状态、范围、序号和时效校验；摆杆±4.5°软限位及电机−2.938232°/+11.240234°实测端点锁存；零点再次捕获窗口0.588°；电流、速度、积分和加速度多级限幅；模式切换清零控制器；底盘脱线、编码器停滞和双轮失配停机。BMI088失效时前馈置零但保留视觉闭环，OLED或网络失效不影响主控制。现阶段尚未实现独立堵转持续时间判据，最终实物应增加机械保险或熔断保护。</w:t>
      </w:r>
    </w:p>
    <w:tbl>
      <w:tblPr>
        <w:tblW w:type="dxa" w:w="878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788"/>
      </w:tblGrid>
      <w:tr>
        <w:tc>
          <w:tcPr>
            <w:tcW w:type="dxa" w:w="8787"/>
            <w:shd w:fill="F8F8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spacing w:lineRule="exact" w:line="36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程序流程图占位：图2 主程序流程图；图3 视觉识别流程图；图4 滚球平衡控制流程图；图5 循迹与停车流程图。正式提交时可在保持图号与版式不变的条件下替换为最终流程图。</w:t>
            </w:r>
          </w:p>
        </w:tc>
      </w:tr>
    </w:tbl>
    <w:p>
      <w:pPr>
        <w:keepNext w:val="0"/>
        <w:spacing w:lineRule="exact" w:line="160" w:before="0" w:after="0"/>
        <w:ind w:firstLine="0"/>
      </w:pP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四、测试方案与测试结果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1、测试方案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硬件测试依次检查分路电源纹波、相机60帧/s采集、七路红外极性与阈值、编码器方向、TB6612双轮PWM、M2006正负小角度响应、机械挡块、CAN反馈、欠压及过温停机；软件测试覆盖视觉几何与候选、CRC和粘包恢复、跟踪状态、PID限幅与抗饱和、三点标定、模式切换、启停线状态机和外设降级。系统联调在标准1.8±0.2 cm黑线场地进行，分别完成静态±5 cm往返、AB段、中心整圈、任意位置整圈和图传显示存储测试。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静态滚球至少重复5次，以钢球进入目标±1 cm并保持为调节完成，记录总时间、最大误差和平均误差；循迹及停车至少重复10次，记录单圈时间、AB时间、停车偏差、脱线次数和成功率；整车测试同步保存视频与Ozone/串口遥测，统计视觉数据年龄、钢球最大误差、摆杆限幅次数、电流峰值及安全停机次数。主要仪器包括示波器、数字万用表、倾角仪、标尺、外部计时录像与显示存储计算机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2、测试结果及分析</w:t>
      </w:r>
    </w:p>
    <w:p>
      <w:pPr>
        <w:keepNext/>
        <w:spacing w:lineRule="exact" w:line="360" w:before="4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表4  已有测试结果与题目指标对照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01"/>
        <w:gridCol w:w="1984"/>
        <w:gridCol w:w="3175"/>
        <w:gridCol w:w="2211"/>
      </w:tblGrid>
      <w:tr>
        <w:trPr>
          <w:tblHeader w:val="true"/>
        </w:trPr>
        <w:tc>
          <w:tcPr>
            <w:tcW w:type="dxa" w:w="1701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测试项目</w:t>
            </w:r>
          </w:p>
        </w:tc>
        <w:tc>
          <w:tcPr>
            <w:tcW w:type="dxa" w:w="1984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题目/设计指标</w:t>
            </w:r>
          </w:p>
        </w:tc>
        <w:tc>
          <w:tcPr>
            <w:tcW w:type="dxa" w:w="3175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现有结果</w:t>
            </w:r>
          </w:p>
        </w:tc>
        <w:tc>
          <w:tcPr>
            <w:tcW w:type="dxa" w:w="2211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结论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视觉软件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功能与异常处理正确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211项全部通过，用时2.59 s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已验证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相机采集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640×480、60帧/s稳定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1807帧/30.10 s；60.02帧/s；失败0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满足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完整视觉链路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单帧低于16.67 ms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55～58帧/s；P95 7.1～7.5 ms；P99 7.5～8.5 ms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满足实时性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离线识别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空槽低误检、带球连续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参考匹配空槽527帧零候选；带球975帧候选覆盖100%；端点100%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样本范围满足；非严格精度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广泛动态素材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适应姿态变化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12组端点100%；全范围压力素材候选覆盖95.33%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方案有效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平衡固件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 kHz、50 Hz输入、1 Mbit/s CAN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全量交叉编译；Flash约40.8 kB、RAM约10.2 kB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软件与资源满足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底盘固件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100 Hz闭环、计时显示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构建通过；Flash 22344 B、SRAM 4507 B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软件与资源满足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理论圈时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单圈≤20 s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速度规划推算约16.7 s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有理论余量，非实测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静态±5 cm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≤5 s，最大误差≤1 cm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源材料未提供规范化实测记录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待整机验收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AB/整圈球位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AB≤8 s；整圈≤30 s；误差≤1 cm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源材料未提供整车实测数据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待整机验收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停车与图传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停车≤2 cm；稳定显示、记录、回放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停车偏差及无线图传端到端数据未提供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待场地/实机验收</w:t>
            </w:r>
          </w:p>
        </w:tc>
      </w:tr>
    </w:tbl>
    <w:p>
      <w:pPr>
        <w:keepNext w:val="0"/>
        <w:spacing w:lineRule="exact" w:line="160" w:before="0" w:after="0"/>
        <w:ind w:firstLine="0"/>
      </w:pP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测试表明视觉算法、嵌入式实时性、通信协议、控制软件和资源占用达到当前设计阶段要求。空槽零候选与带球候选覆盖证明检测链路具有稳定候选输出，但未建立逐帧物理真值，不能将100%候选覆盖解释为100%识别准确率；0.30 mm/像素仅是理论采样尺度，也不能替代±1 cm位置误差验收。底盘16.7 s为依据编码器标定和速度曲线的计算值，停车偏差、实际圈时及满载弯道成功率仍应以标准场地数据为准。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综合现有证据，系统已完成红外循迹、视觉测量、滚球控制、计时显示和安全保护设计，软件与实时性达到预期并具备完成赛题的理论条件；但静态滚球误差、AB段时间、整圈球位误差、停车偏差和无线图传仍缺实测数据，故暂不能判定整机全部达标。上述项目的最差值满足题目限值后，方可形成最终达标结论。</w:t>
      </w:r>
    </w:p>
    <w:p>
      <w:r>
        <w:br w:type="page"/>
      </w: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五、参考文献</w:t>
      </w:r>
    </w:p>
    <w:p>
      <w:pPr>
        <w:keepNext w:val="0"/>
        <w:spacing w:lineRule="exact" w:line="440" w:before="0" w:after="0"/>
        <w:ind w:left="420" w:hanging="420"/>
      </w:pPr>
      <w:r>
        <w:rPr>
          <w:rFonts w:ascii="Times New Roman" w:hAnsi="Times New Roman" w:eastAsia="宋体"/>
          <w:sz w:val="24"/>
        </w:rPr>
        <w:t>[1] TEXAS INSTRUMENTS. MSPM0G350x Mixed-Signal Microcontrollers Datasheet[EB/OL]. Dallas: Texas Instruments, 2025.</w:t>
      </w:r>
    </w:p>
    <w:p>
      <w:pPr>
        <w:keepNext w:val="0"/>
        <w:spacing w:lineRule="exact" w:line="440" w:before="0" w:after="0"/>
        <w:ind w:left="420" w:hanging="420"/>
      </w:pPr>
      <w:r>
        <w:rPr>
          <w:rFonts w:ascii="Times New Roman" w:hAnsi="Times New Roman" w:eastAsia="宋体"/>
          <w:sz w:val="24"/>
        </w:rPr>
        <w:t>[2] STMICROELECTRONICS. STM32F405xx/STM32F407xx Datasheet[EB/OL]. Geneva: STMicroelectronics, 2025.</w:t>
      </w:r>
    </w:p>
    <w:p>
      <w:pPr>
        <w:keepNext w:val="0"/>
        <w:spacing w:lineRule="exact" w:line="440" w:before="0" w:after="0"/>
        <w:ind w:left="420" w:hanging="420"/>
      </w:pPr>
      <w:r>
        <w:rPr>
          <w:rFonts w:ascii="Times New Roman" w:hAnsi="Times New Roman" w:eastAsia="宋体"/>
          <w:sz w:val="24"/>
        </w:rPr>
        <w:t>[3] DJI. RoboMaster M2006 P36直流无刷减速电机与C610电调使用说明[Z]. 深圳: 深圳市大疆创新科技有限公司.</w:t>
      </w:r>
    </w:p>
    <w:p>
      <w:pPr>
        <w:keepNext w:val="0"/>
        <w:spacing w:lineRule="exact" w:line="440" w:before="0" w:after="0"/>
        <w:ind w:left="420" w:hanging="420"/>
      </w:pPr>
      <w:r>
        <w:rPr>
          <w:rFonts w:ascii="Times New Roman" w:hAnsi="Times New Roman" w:eastAsia="宋体"/>
          <w:sz w:val="24"/>
        </w:rPr>
        <w:t>[4] BRADSKI G, KAEHLER A. Learning OpenCV: Computer Vision with the OpenCV Library[M]. Sebastopol: O'Reilly Media, 2008.</w:t>
      </w:r>
    </w:p>
    <w:p>
      <w:pPr>
        <w:keepNext w:val="0"/>
        <w:spacing w:lineRule="exact" w:line="440" w:before="0" w:after="0"/>
        <w:ind w:left="420" w:hanging="420"/>
      </w:pPr>
      <w:r>
        <w:rPr>
          <w:rFonts w:ascii="Times New Roman" w:hAnsi="Times New Roman" w:eastAsia="宋体"/>
          <w:sz w:val="24"/>
        </w:rPr>
        <w:t>[5] FRANKLIN G F, POWELL J D, EMAMI-NAEINI A. Feedback Control of Dynamic Systems[M]. 8th ed. Boston: Pearson, 2019.</w:t>
      </w:r>
    </w:p>
    <w:p>
      <w:pPr>
        <w:keepNext w:val="0"/>
        <w:spacing w:lineRule="exact" w:line="440" w:before="0" w:after="0"/>
        <w:ind w:left="420" w:hanging="420"/>
      </w:pPr>
      <w:r>
        <w:rPr>
          <w:rFonts w:ascii="Times New Roman" w:hAnsi="Times New Roman" w:eastAsia="宋体"/>
          <w:sz w:val="24"/>
        </w:rPr>
        <w:t>[6] CORKE P. Robotics, Vision and Control: Fundamental Algorithms in MATLAB[M]. 2nd ed. Cham: Springer, 2017.</w:t>
      </w:r>
    </w:p>
    <w:p>
      <w:r>
        <w:br w:type="page"/>
      </w: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附录1：电路原理图</w:t>
      </w:r>
    </w:p>
    <w:p>
      <w:r>
        <w:br w:type="page"/>
      </w: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附录2：源程序</w:t>
      </w:r>
    </w:p>
    <w:sectPr>
      <w:headerReference w:type="default" r:id="rId17"/>
      <w:footerReference w:type="default" r:id="rId18"/>
      <w:pgSz w:w="11906" w:h="16838"/>
      <w:pgMar w:top="1701" w:right="1417" w:bottom="1417" w:left="1417" w:header="850" w:footer="709" w:gutter="0"/>
      <w:cols w:space="720"/>
      <w:docGrid w:type="lines" w:linePitch="312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AD404" w14:textId="77777777">
      <w:r>
        <w:separator/>
      </w:r>
    </w:p>
  </w:endnote>
  <w:endnote w:type="continuationSeparator" w:id="0">
    <w:p w14:paraId="45F6E44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73EB3" w14:textId="77777777">
    <w:pPr>
      <w:pStyle w:val="a5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fldChar w:fldCharType="end"/>
    </w:r>
  </w:p>
  <w:p w14:paraId="480D40A7" w14:textId="77777777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D7F10" w14:textId="77777777">
    <w:pPr>
      <w:pStyle w:val="a5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lang w:val="en-US" w:eastAsia="zh-CN"/>
      </w:rPr>
      <w:t>III</w:t>
    </w:r>
    <w:r>
      <w:fldChar w:fldCharType="end"/>
    </w:r>
  </w:p>
  <w:p w14:paraId="42004F3F" w14:textId="77777777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32B50" w14:textId="77777777">
    <w:pPr>
      <w:pStyle w:val="a5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lang w:val="en-US" w:eastAsia="zh-CN"/>
      </w:rPr>
      <w:t>2</w:t>
    </w:r>
    <w:r>
      <w:fldChar w:fldCharType="end"/>
    </w:r>
  </w:p>
  <w:p w14:paraId="3AB17C59" w14:textId="77777777">
    <w:pPr>
      <w:pStyle w:val="a5"/>
      <w:ind w:right="360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lineRule="exact" w:line="280" w:before="0" w:after="0"/>
      <w:ind w:firstLine="0"/>
      <w:jc w:val="right"/>
    </w:pPr>
    <w:r>
      <w:rPr>
        <w:rFonts w:ascii="Times New Roman" w:hAnsi="Times New Roman" w:eastAsia="宋体"/>
        <w:sz w:val="21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68729" w14:textId="77777777">
      <w:r>
        <w:separator/>
      </w:r>
    </w:p>
  </w:footnote>
  <w:footnote w:type="continuationSeparator" w:id="0">
    <w:p w14:paraId="3806BC62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1741A"/>
    <w:rsid w:val="00140E32"/>
    <w:rsid w:val="0028778B"/>
    <w:rsid w:val="002951EB"/>
    <w:rsid w:val="002B3CCE"/>
    <w:rsid w:val="002F2974"/>
    <w:rsid w:val="0030276E"/>
    <w:rsid w:val="00345690"/>
    <w:rsid w:val="00416DB3"/>
    <w:rsid w:val="004C15CF"/>
    <w:rsid w:val="004F3621"/>
    <w:rsid w:val="007911AF"/>
    <w:rsid w:val="007F0E3F"/>
    <w:rsid w:val="00932A78"/>
    <w:rsid w:val="00B0259B"/>
    <w:rsid w:val="00BB1A9E"/>
    <w:rsid w:val="00D72EBF"/>
    <w:rsid w:val="00D97DB3"/>
    <w:rsid w:val="00DA6F55"/>
    <w:rsid w:val="00DB4CA1"/>
    <w:rsid w:val="00E06735"/>
    <w:rsid w:val="00F731A0"/>
    <w:rsid w:val="079A14B1"/>
    <w:rsid w:val="13B3501E"/>
    <w:rsid w:val="13B35B2F"/>
    <w:rsid w:val="18157C88"/>
    <w:rsid w:val="19597047"/>
    <w:rsid w:val="2891269A"/>
    <w:rsid w:val="2FB728E1"/>
    <w:rsid w:val="38DC6907"/>
    <w:rsid w:val="38DC737F"/>
    <w:rsid w:val="42EB4F99"/>
    <w:rsid w:val="45E75682"/>
    <w:rsid w:val="4E961955"/>
    <w:rsid w:val="53AA0479"/>
    <w:rsid w:val="54D93442"/>
    <w:rsid w:val="58FD0655"/>
    <w:rsid w:val="632C1F7A"/>
    <w:rsid w:val="70147798"/>
    <w:rsid w:val="718107C0"/>
    <w:rsid w:val="771940C9"/>
    <w:rsid w:val="7C2F5587"/>
    <w:rsid w:val="7D1A17E2"/>
    <w:rsid w:val="7EEE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17B9CDF"/>
  <w15:chartTrackingRefBased/>
  <w15:docId w15:val="{8A78B196-76D5-4FA1-9375-76BEF6D5B99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Rule="exact" w:line="440" w:before="0" w:after="0"/>
      <w:jc w:val="both"/>
    </w:pPr>
    <w:rPr>
      <w:rFonts w:ascii="Times New Roman" w:hAnsi="Times New Roman" w:eastAsia="宋体"/>
      <w:kern w:val="2"/>
      <w:sz w:val="24"/>
      <w:szCs w:val="21"/>
    </w:rPr>
  </w:style>
  <w:style w:type="paragraph" w:styleId="1">
    <w:name w:val="heading 1"/>
    <w:basedOn w:val="a"/>
    <w:next w:val="a"/>
    <w:qFormat/>
    <w:pPr>
      <w:keepNext/>
      <w:keepLines/>
      <w:spacing w:before="0" w:after="0" w:line="440" w:lineRule="exact"/>
      <w:outlineLvl w:val="0"/>
    </w:pPr>
    <w:rPr>
      <w:rFonts w:ascii="Times New Roman" w:hAnsi="Times New Roman" w:eastAsia="黑体"/>
      <w:b/>
      <w:bCs/>
      <w:color w:val="000000"/>
      <w:kern w:val="44"/>
      <w:sz w:val="32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0" w:after="0" w:line="440" w:lineRule="exact"/>
      <w:outlineLvl w:val="1"/>
    </w:pPr>
    <w:rPr>
      <w:rFonts w:ascii="Times New Roman" w:eastAsia="宋体" w:hAnsi="Times New Roman"/>
      <w:b/>
      <w:bCs/>
      <w:color w:val="000000"/>
      <w:sz w:val="28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0" w:after="0" w:line="440" w:lineRule="exact"/>
      <w:outlineLvl w:val="2"/>
    </w:pPr>
    <w:rPr>
      <w:rFonts w:ascii="Times New Roman" w:hAnsi="Times New Roman" w:eastAsia="宋体"/>
      <w:b/>
      <w:bCs/>
      <w:color w:val="000000"/>
      <w:sz w:val="24"/>
      <w:szCs w:val="32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Hyperlink"/>
    <w:uiPriority w:val="99"/>
    <w:rPr>
      <w:color w:val="0000FF"/>
      <w:u w:val="single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TOC1">
    <w:name w:val="toc 1"/>
    <w:basedOn w:val="a"/>
    <w:next w:val="a"/>
    <w:uiPriority w:val="39"/>
    <w:pPr>
      <w:tabs>
        <w:tab w:val="right" w:leader="dot" w:pos="8296"/>
      </w:tabs>
    </w:pPr>
    <w:rPr>
      <w:rFonts w:ascii="SimSun" w:hAnsi="SimSun"/>
      <w:lang w:val="en-US" w:eastAsia="zh-CN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Date"/>
    <w:basedOn w:val="a"/>
    <w:next w:val="a"/>
    <w:pPr>
      <w:ind w:leftChars="2500" w:left="100"/>
    </w:pPr>
  </w:style>
  <w:style w:type="paragraph" w:styleId="TOC2">
    <w:name w:val="toc 2"/>
    <w:basedOn w:val="a"/>
    <w:next w:val="a"/>
    <w:uiPriority w:val="39"/>
    <w:pPr>
      <w:ind w:leftChars="200" w:left="420"/>
    </w:pPr>
  </w:style>
  <w:style w:type="character" w:styleId="a8">
    <w:name w:val="Strong"/>
    <w:uiPriority w:val="22"/>
    <w:qFormat/>
    <w:rsid w:val="00DA6F55"/>
    <w:rPr>
      <w:b/>
      <w:bCs/>
    </w:rPr>
  </w:style>
  <w:style w:type="paragraph" w:customStyle="1" w:styleId="CompactTableText">
    <w:name w:val="Compact Table Text"/>
    <w:pPr>
      <w:spacing w:lineRule="exact" w:line="300" w:before="0" w:after="0"/>
    </w:pPr>
    <w:rPr>
      <w:rFonts w:ascii="Times New Roman" w:hAnsi="Times New Roman" w:eastAsia="宋体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4.xml"/><Relationship Id="rId17" Type="http://schemas.openxmlformats.org/officeDocument/2006/relationships/header" Target="header2.xml"/><Relationship Id="rId18" Type="http://schemas.openxmlformats.org/officeDocument/2006/relationships/footer" Target="footer5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&#35770;&#25991;&#27169;&#26495;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论文模板1</Template>
  <TotalTime>0</TotalTime>
  <Pages>9</Pages>
  <Words>1544</Words>
  <Characters>1852</Characters>
  <Application>Microsoft Office Word</Application>
  <DocSecurity>4</DocSecurity>
  <PresentationFormat/>
  <Lines>193</Lines>
  <Paragraphs>127</Paragraphs>
  <Slides>0</Slides>
  <Notes>0</Notes>
  <HiddenSlides>0</HiddenSlides>
  <MMClips>0</MMClips>
  <ScaleCrop>false</ScaleCrop>
  <Manager/>
  <Company>jujumao</Company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车载平衡滚球运动控制系统（H题）设计报告</dc:title>
  <dc:subject>全国大学生电子设计竞赛广东赛区设计报告</dc:subject>
  <dc:creator/>
  <cp:keywords/>
  <dc:description/>
  <cp:lastModifiedBy/>
  <cp:revision>2</cp:revision>
  <dcterms:created xsi:type="dcterms:W3CDTF">2026-07-31T21:10:00Z</dcterms:created>
  <dcterms:modified xsi:type="dcterms:W3CDTF">2026-07-31T21:10:00Z</dcterms:modified>
  <cp:category/>
</cp:coreProperties>
</file>