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lineRule="exact" w:line="520" w:before="0" w:after="16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设计面向H题车载平衡滚球运动控制系统，构建由七路红外循迹底盘、动态视觉测量、串级平衡控制和分路电源组成的车载系统。视觉端利用动态端点重建800×64归一化条带，融合空槽差分、暗体特征与Alpha-Beta跟踪，以50 Hz输出钢球位置；平衡端依据钢球滚动动力学，将位置PID、BMI088加速度前馈及M2006位置—速度双环结合；底盘端采用四轮两驱差速结构和七路加权质心循迹。视觉软件211项测试全部通过，完整链路约55～58帧/s，参考匹配素材空槽527帧零候选、带球975帧候选覆盖100%。理论单圈时间约16.7 s。系统已完成架构、接口及软件验证，钢球实测误差、停车偏差和整车圈时仍须以最终场地联调数据验收。</w:t>
      </w:r>
    </w:p>
    <w:p>
      <w:pPr>
        <w:keepNext w:val="0"/>
        <w:spacing w:lineRule="exact" w:line="440" w:before="80" w:after="0"/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动态视觉；滚球平衡；串级控制；红外循迹；差速底盘</w:t>
      </w:r>
    </w:p>
    <w:p>
      <w:pPr>
        <w:sectPr>
          <w:headerReference w:type="default" r:id="rId15"/>
          <w:footerReference w:type="default" r:id="rId16"/>
          <w:pgSz w:w="11906" w:h="16838"/>
          <w:pgMar w:top="1701" w:right="1417" w:bottom="1417" w:left="1417" w:header="850" w:footer="709" w:gutter="0"/>
          <w:cols w:space="720"/>
          <w:docGrid w:type="lines" w:linePitch="312"/>
        </w:sectPr>
      </w:pP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一、系统方案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系统由循迹与底盘、视觉识别与图传、滚球平衡与摆杆执行、电源及人机交互组成。针对图像运算、毫秒级电机控制和10 ms循迹控制在资源与实时性上的差异，采用树莓派5、STM32F407和MSPM0G3507构成异构分布式控制架构。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1、主控制器件与电源方案的论证与选择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方案一采用单片机集中完成视觉、滚球和底盘控制，硬件简单但难以承担60帧/s图像处理；方案二采用单板计算机统一控制，图像能力充足但硬实时、PWM与故障隔离能力不足；方案三按任务时间尺度分配控制器：树莓派5处理OpenCV视觉及显示存储，STM32F407以1 kHz完成滚球与M2006串级控制，MSPM0G3507以100 Hz完成七路循迹、双编码器和计时显示。故选方案三。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电源方面，线性稳压损耗大，单路开关电源易使电机纹波耦合至相机和传感器；本设计采用3S锂电池形成约11.1 V动力母线，C610和底盘H桥由动力支路供电，独立降压形成5 V视觉/图传电源及3.3 V逻辑电源，各支路共地并配置保险、反接保护、储能电容与高频去耦。9.5 V持续300 ms触发欠压停机。该方案兼顾M2006现有12 V运行状态、树莓派瞬态负载和传感器低噪声要求。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2、视觉识别与图传方案的论证与选择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固定ROI方案计算量小，但摆杆转动或车体振动后会发生区域截断；YOLO等深度学习方案适应性强，但需大量标注样本，树莓派CPU部署开销较大，且检测框仍需轴向标定。最终采用动态端点标记、透视归一化和一维融合检测：左端单标记、右端双标记实时重建摆杆坐标系，将图像映射为800×64条带，再融合三姿态空槽参考差分、梯度和局部暗体响应。USB摄像头工作于640×480、MJPG、60帧/s；树莓派5兼顾识别、录像和网络预览。图传预留H.264/UDP 25帧/s、4 Mbit/s、GOP 30、端口5600和队列深度2，外部计算机负责显示、存储及回放。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3、滚球平衡与摆杆执行方案的论证与选择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单闭环位置PID实现简单，但小车加减速时只能在钢球位移后纠偏；LQR能综合多状态，然而对非对称连杆、摩擦和完整状态估计依赖较强。最终选择钢球位置PID、滚动动力学反算、BMI088纵向加速度前馈以及电机位置—速度双环的复合方案，使视觉反馈消除稳态偏差，前馈提前抵消底盘扰动，快慢环分离便于现场整定。执行机构比较舵机、有刷减速电机和M2006+C610后，选用36:1 M2006 P36无刷减速电机及C610电调；其8192计数编码器、CAN反馈和温度信息适合高频微调，连续转矩1 N·m，正常输出轴速度限制为±45 r/min。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4、循迹检测与底盘方案的论证与选择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线阵CCD能够提供连续灰度与曲率信息，但处理和曝光链路复杂，且题目明确规定循迹只能使用红外光电模块。故选七路反射式红外数字阵列，S1～S7横向布置，中间S4对准车体中心；多通道状态既可估计横向偏差，也可识别A点宽启停线。底盘采用四轮两驱差速结构，两只主动轮独立编码调速，两只万向轮承载随动，机械链短、四点支承稳定，适合两段1.5 m直线和半径0.5 m半圆弧组成的环形路线。驱动选用双路TB6612FNG类H桥，终点采用短路制动。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 系统各子系统最终选型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7"/>
        <w:gridCol w:w="2324"/>
        <w:gridCol w:w="2381"/>
        <w:gridCol w:w="3118"/>
      </w:tblGrid>
      <w:tr>
        <w:trPr>
          <w:tblHeader w:val="true"/>
        </w:trPr>
        <w:tc>
          <w:tcPr>
            <w:tcW w:type="dxa" w:w="1247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子系统</w:t>
            </w:r>
          </w:p>
        </w:tc>
        <w:tc>
          <w:tcPr>
            <w:tcW w:type="dxa" w:w="232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比较方案</w:t>
            </w:r>
          </w:p>
        </w:tc>
        <w:tc>
          <w:tcPr>
            <w:tcW w:type="dxa" w:w="238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最终方案</w:t>
            </w:r>
          </w:p>
        </w:tc>
        <w:tc>
          <w:tcPr>
            <w:tcW w:type="dxa" w:w="3118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选型结论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单MCU/单板机/异构分布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树莓派5+STM32F407+MSPM0G3507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算力与实时控制分离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固定ROI/深度学习/动态几何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动态标记+归一化条带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实时、可解释、适应摆杆运动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平衡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单PID/LQR/串级复合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PID+逆动力学+IMU前馈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抗扰与调试效率兼顾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摆杆驱动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舵机/有刷H桥/M2006+C610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M2006 P36+C610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反馈完整、CAN抗干扰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循迹底盘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CCD/红外；舵向/差速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七路红外+四轮两驱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符合题目限制、支承稳定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电源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线性/单路DC-DC/分路DC-DC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3S母线+动力/5 V/3.3 V分路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降低动力噪声耦合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二、系统理论分析与计算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1、视觉测量原理与计算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设左右端点为P_L、P_R，右端双标记中心取两候选点均值；由端点差建立轴向单位向量u和法向量n，并用四点单应矩阵H把动态四边形映射为固定条带。端点距离限制430～610像素，摆杆角度限制±12°，帧间跳变不超过35像素；标记白阈值150，面积4～80 px²、圆度不低于0.38、长宽比不大于1.8、黑环比例不低于0.30，右端点距8～30像素、方向90°±35°。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u=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∥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∥</m:t>
              </m:r>
            </m:den>
          </m:f>
          <m:r>
            <m:t>,</m:t>
          </m:r>
          <m:r>
            <m:t>n=(−</m:t>
          </m:r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（2-1）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λ</m:t>
          </m:r>
          <m:sSup>
            <m:e>
              <m:r>
                <m:t>p</m:t>
              </m:r>
            </m:e>
            <m:sup>
              <m:r>
                <m:t>′</m:t>
              </m:r>
            </m:sup>
          </m:sSup>
          <m:r>
            <m:t>=Hp</m:t>
          </m:r>
        </m:oMath>
      </w:r>
      <w:r>
        <w:rPr>
          <w:rFonts w:ascii="Times New Roman" w:hAnsi="Times New Roman" w:eastAsia="宋体"/>
          <w:sz w:val="21"/>
        </w:rPr>
        <w:tab/>
        <w:t>（2-2）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检测将灰度差分与梯度差分按1.0:0.65融合，9像素平滑后筛选峰值18、峰宽8～80像素和跟踪半径120像素；局部暗度路径采用101像素基线核、阈值8.0和3～60像素峰宽作为参考失配时的补充。低、中、高参考摆杆长度为501.88、558.79、589.59像素。钢球中心投影到摆杆轴后，以t_left=0.9495781064、t_right=0.0514231734换算24.0 cm有效行程，理论采样尺度约0.30 mm/像素。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(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)·(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</m:t>
              </m:r>
            </m:num>
            <m:den>
              <m:sSup>
                <m:e>
                  <m:r>
                    <m:t>∥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r>
            <m:t>x=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eff</m:t>
              </m:r>
            </m:sub>
          </m:sSub>
          <m:f>
            <m:fPr>
              <m:type m:val="bar"/>
            </m:fPr>
            <m:num>
              <m:r>
                <m:t>t−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right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den>
          </m:f>
        </m:oMath>
      </w:r>
      <w:r>
        <w:rPr>
          <w:rFonts w:ascii="Times New Roman" w:hAnsi="Times New Roman" w:eastAsia="宋体"/>
          <w:sz w:val="21"/>
        </w:rPr>
        <w:tab/>
        <w:t>（2-3）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Alpha-Beta跟踪器取α=0.75、β=0.12，依据恒速度模型校正位置和速度；漏检不超过3帧时输出PREDICTED，超限即LOST。该处理提高连续性，但预测状态不能等同直接检测。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=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t>+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rPr>
              <m:sty m:val="p"/>
            </m:rPr>
            <m:t>Δt</m:t>
          </m:r>
          <m:r>
            <m:t>,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</m:t>
              </m:r>
            </m:sub>
          </m:sSub>
          <m:r>
            <m:t>=</m:t>
          </m:r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+α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（2-4）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2、滚球平衡与电机串级控制计算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钢球近似为均匀实心球，在凹槽内无滑动滚动。设钢球轴向位置为x、摆杆角为θ、小车纵向加速度为a_c，则平动与转动惯量共同形成5/7等效系数。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limUpp>
            <m:e>
              <m:r>
                <m:t>x</m:t>
              </m:r>
            </m:e>
            <m:lim>
              <m:r>
                <m:t>¨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7</m:t>
              </m:r>
            </m:den>
          </m:f>
          <m:r>
            <m:t>(g</m:t>
          </m:r>
          <m:r>
            <m:rPr>
              <m:sty m:val="p"/>
            </m:rPr>
            <m:t>sin</m:t>
          </m:r>
          <m:r>
            <m:t>θ+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t>θ)</m:t>
          </m:r>
        </m:oMath>
      </w:r>
      <w:r>
        <w:rPr>
          <w:rFonts w:ascii="Times New Roman" w:hAnsi="Times New Roman" w:eastAsia="宋体"/>
          <w:sz w:val="21"/>
        </w:rPr>
        <w:tab/>
        <w:t>（2-5）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位置外环按目标位置与视觉位置之差产生目标加速度，参数K_px=4.0、K_ix=0.35、K_dx=2.2，积分限幅0.35 m/s²、输出限幅1.5 m/s²，速度低通12 Hz、微分低通10 Hz。忽略小积分项时，自然频率2 rad/s、阻尼比0.55，理论2%调节时间约3.64 s、峰值超调约12.6%，与题目5 s往返要求具有理论一致性。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px</m:t>
              </m:r>
            </m:sub>
          </m:sSub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ix</m:t>
              </m:r>
            </m:sub>
          </m:sSub>
          <m:r>
            <m:t>∫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dt</m:t>
          </m:r>
          <m: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dx</m:t>
              </m:r>
            </m:sub>
          </m:sSub>
          <m:sSub>
            <m:e>
              <m:limUpp>
                <m:e>
                  <m:r>
                    <m:t>x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f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（2-6）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由动力学逆解得到摆杆目标角，并叠加BMI088纵向加速度前馈。目标角限幅±4.5°，静止平台最大钢球加速度约0.550 m/s²，可完整抵消的纵向加速度约±0.772 m/s²。BMI088采用8 Hz低通，时间常数约19.9 ms，上电1000点零偏标定约1 s。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sty m:val="p"/>
            </m:rPr>
            <m:t>arcsin</m:t>
          </m:r>
          <m:r>
            <m:t>(</m:t>
          </m:r>
          <m:f>
            <m:fPr>
              <m:type m:val="bar"/>
            </m:fPr>
            <m:num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)−</m:t>
          </m:r>
          <m:r>
            <m:rPr>
              <m:sty m:val="p"/>
            </m:rPr>
            <m:t>arctan</m:t>
          </m:r>
          <m:r>
            <m:t>(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g</m:t>
              </m:r>
            </m:den>
          </m:f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（2-7）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2006转子编码器0～8191计数，经36:1减速后每计数对应输出轴0.0012207°。实测水平累计值4552，右端最低13760（相对+11.240234°），右端最高2145（相对−2.938232°）；采用分段线性插值描述非对称连杆，±4.5°软限位对应电机约+10.1162°至−2.6444°。位置PD参数7.0/0/0.12，速度限幅±45 r/min；速度PI参数1.2/8.0/0，积分限幅1200、电流指令限幅±2500、最小有效值160，积分时间常数0.15 s。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3、循迹、差速运动学与圈时计算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七路状态b_i对应权值+50、+33、+16、0、−16、−33、−50。有效通道数为n时，按加权质心计算路径偏差；外环PID取K_p=0.9、K_i=0.05、K_d=0.2，并以0.04倍MPU6050 Z轴角速度形成偏航阻尼，修正量限幅±30计数。左右速度内环参数分别为180/0.35/26和180/0.28/18，PWM限幅±3199，频率约10 kHz。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e=</m:t>
          </m:r>
          <m:f>
            <m:fPr>
              <m:type m:val="bar"/>
            </m:fPr>
            <m:num>
              <m:r>
                <m:t>∑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t>,</m:t>
          </m:r>
          <m:r>
            <m:t>v=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+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r>
            <m:t>,</m:t>
          </m:r>
          <m:r>
            <m:t>ω=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B</m:t>
              </m:r>
            </m:den>
          </m:f>
        </m:oMath>
      </w:r>
      <w:r>
        <w:rPr>
          <w:rFonts w:ascii="Times New Roman" w:hAnsi="Times New Roman" w:eastAsia="宋体"/>
          <w:sz w:val="21"/>
        </w:rPr>
        <w:tab/>
        <w:t>（2-8）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轨道中心线长度为3+π≈6.142 m。五次整圈编码器中值为左49712、右39741计数，巡航目标31计数/10 ms对应名义0.431 m/s；采用1.30 s平滑加速、圈进度86%～97%减速及末段11计数/10 ms（约0.153 m/s）的速度规划，离散推算单圈约16.7 s，理论上低于20 s要求。A点离开确认5周期、最短运行100周期、回到启停线连续2周期确认，抑制起点误判。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三、电路与程序设计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1、系统总体框图与整体工作流程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按键启动后，循迹控制器开始10 ms计时并驱动底盘；视觉端持续采集摆杆与钢球图像，形成带状态和时间戳的位置帧；平衡控制器仅在CRC、序号、时效和状态有效时更新钢球外环，同时读取BMI088和M2006反馈，经角度反算及双环控制向C610下发电流。回到A点后底盘短刹并停止计时；任何关键故障均撤销相应驱动输出。系统总体框图如图1所示。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USB摄像头</w:t>
              <w:br/>
              <w:t>动态端点与钢球图像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树莓派5</w:t>
              <w:br/>
              <w:t>视觉测量/录像/图传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外部接收显示存储装置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USB CDC 50 Hz</w:t>
              <w:br/>
              <w:t>24字节+CRC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UDP/H.264预留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七路红外+双编码器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STM32F407</w:t>
              <w:br/>
              <w:t>滚球平衡控制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M2006+C610</w:t>
              <w:br/>
              <w:t>摆杆执行机构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BMI088加速度前馈</w:t>
              <w:br/>
              <w:t>CAN 1 Mbit/s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编码器/速度/温度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MSPM0G3507</w:t>
              <w:br/>
              <w:t>循迹、计时、显示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四轮两驱差速底盘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3S电池与分路电源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图1  系统总体框图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2、子系统硬件电路设计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（1）视觉识别与图传电路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USB摄像头接树莓派5的USB主机口，固定曝光值157、亮度4并关闭动态帧率，以保持参考差分条件稳定。树莓派通过USB Device CDC与STM32F407连接，辅助显示、录像和图传采用有界队列，避免网络或存储阻塞识别线程。摄像头和图传发送端牢固安装于车体，画面覆盖完整25 cm摆杆；接收计算机置于线路外完成实时显示、存储和回放。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（2）滚球平衡与电机驱动电路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STM32F407以SPI1约2.625 MHz读取BMI088，以CAN1 1 Mbit/s连接C610，电机ID为1。控制命令标准帧ID为0x200，反馈ID为0x201；反馈包含编码器、转速、电流和温度。ADC3以100 Hz采集电池电压。CAN端配置匹配的收发器、终端和可靠共地，电机动力线与USB、SPI及传感器线分离。摆杆左端铰接高度不低于5 cm，右端由连杆机构驱动，并设置机械实体挡块。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（3）循迹与底盘电路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MSPM0G3507系统时钟32 MHz，S1～S7接PB12～PB18并内部上拉；左编码器由TIMG8硬件QEI采集，右编码器由PB10/PB11双边沿中断解码。TIMA0两通道输出约10 kHz PWM至TB6612FNG，STBY独立控制；MPU6050经I2C1 100 kHz连接，SSD1306 128×64 OLED采用GPIO开漏模拟I2C，显示时间、圈次和里程。所有MCU输入均限制在3.3 V以内。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（4）电源与抗干扰电路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3S电池经总开关、保险与反接保护后分为动力和逻辑支路；M2006/C610与底盘电机端就近配置储能及高频去耦，树莓派和摄像头采用独立5 V大电流降压，MCU与传感器采用低纹波5 V/3.3 V支路。各支路单点汇接，共模地线短而粗；USB、编码器和I2C线远离H桥开关节点。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3、程序设计、通信协议与异常保护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视觉程序依次执行端点检测、几何校验、条带重建、候选融合、位置标定、Alpha-Beta跟踪及50 Hz发送；滚球程序执行视觉帧解析、模式状态机、位置PID、前馈反算、三点标定、位置环、速度环与安全判定；底盘程序每10 ms完成编码器增量、七路采样、速度规划、循迹PID、双轮速度PID及启停线状态机。非关键OLED、GUI、Web和录像均采用降级或限帧策略。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 关键接口与协议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04"/>
        <w:gridCol w:w="1984"/>
        <w:gridCol w:w="3231"/>
        <w:gridCol w:w="2551"/>
      </w:tblGrid>
      <w:tr>
        <w:trPr>
          <w:tblHeader w:val="true"/>
        </w:trPr>
        <w:tc>
          <w:tcPr>
            <w:tcW w:type="dxa" w:w="130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接口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配置</w:t>
            </w:r>
          </w:p>
        </w:tc>
        <w:tc>
          <w:tcPr>
            <w:tcW w:type="dxa" w:w="323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数据内容</w:t>
            </w:r>
          </w:p>
        </w:tc>
        <w:tc>
          <w:tcPr>
            <w:tcW w:type="dxa" w:w="255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有效性与失效处理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视觉→平衡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USB CDC，115200-8N1显示参数，50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24字节小端；头A5 5A、版本1、序号、时间戳、位置0.1 mm/LSB、速度、置信度、状态、CRC-16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预测最多100 ms且权重50%；150 ms超时；无效位置−32768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平衡→C610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CAN1，1 Mbit/s，ID 0x200/0x201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电流命令；编码器、转速、反馈电流、温度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反馈100 ms超时停机；80 ℃过温锁存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GPIO/QEI，100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7位黑线状态、双轮增量、启停按键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脱线1周期撤销PWM；终点连续2周期确认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H.264/UDP，25帧/s，4 Mbit/s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覆盖摆杆的实时视频，端口5600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队列2优先低延迟；断网不阻塞视觉主链路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 关键参数配置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2154"/>
        <w:gridCol w:w="3572"/>
        <w:gridCol w:w="2211"/>
      </w:tblGrid>
      <w:tr>
        <w:trPr>
          <w:tblHeader w:val="true"/>
        </w:trPr>
        <w:tc>
          <w:tcPr>
            <w:tcW w:type="dxa" w:w="113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模块</w:t>
            </w:r>
          </w:p>
        </w:tc>
        <w:tc>
          <w:tcPr>
            <w:tcW w:type="dxa" w:w="215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采样/范围</w:t>
            </w:r>
          </w:p>
        </w:tc>
        <w:tc>
          <w:tcPr>
            <w:tcW w:type="dxa" w:w="3572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控制或检测参数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保护与资源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640×480@60；条带800×64；有效行程0～240 mm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差分权重1/0.65；峰阈值18；峰宽8～80；α/β=0.75/0.12；串口50 Hz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左右端保持2/3帧；球漏检3帧；写超时0.02 s；重连1 s；录像/图传队列8/2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 kHz；角度±4.5°；速度±45 r/min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球PID 4.0/0.35/2.2；位置PD 7/0/0.12；速度PI 1.2/8；电流±2500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视觉150 ms；CAN100 ms；IMU30 ms；9.5 V/300 ms；80 ℃；Flash 40.8 kB、RAM 10.2 kB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控制100 Hz；PWM约10 kHz；计时0.01 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循迹0.9/0.05/0.2；左右速度180/0.35/26、180/0.28/18；巡航31计数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脱线停机；STBY关断；I2C/OLED自动恢复；Flash 22344 B、SRAM 4507 B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异常保护包括：视觉CRC、长度、状态、范围、序号和时效校验；摆杆±4.5°软限位及电机−2.938232°/+11.240234°实测端点锁存；零点再次捕获窗口0.588°；电流、速度、积分和加速度多级限幅；模式切换清零控制器；底盘脱线、编码器停滞和双轮失配停机。BMI088失效时前馈置零但保留视觉闭环，OLED或网络失效不影响主控制。现阶段尚未实现独立堵转持续时间判据，最终实物应增加机械保险或熔断保护。</w:t>
      </w:r>
    </w:p>
    <w:tbl>
      <w:tblPr>
        <w:tblW w:type="dxa" w:w="878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88"/>
      </w:tblGrid>
      <w:tr>
        <w:tc>
          <w:tcPr>
            <w:tcW w:type="dxa" w:w="8787"/>
            <w:shd w:fill="F8F8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lineRule="exact" w:line="36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程序流程图占位：图2 主程序流程图；图3 视觉识别流程图；图4 滚球平衡控制流程图；图5 循迹与停车流程图。正式提交时可在保持图号与版式不变的条件下替换为最终流程图。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四、测试方案与测试结果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1、测试方案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硬件测试依次检查分路电源纹波、相机60帧/s采集、七路红外极性与阈值、编码器方向、TB6612双轮PWM、M2006正负小角度响应、机械挡块、CAN反馈、欠压及过温停机；软件测试覆盖视觉几何与候选、CRC和粘包恢复、跟踪状态、PID限幅与抗饱和、三点标定、模式切换、启停线状态机和外设降级。系统联调在标准1.8±0.2 cm黑线场地进行，分别完成静态±5 cm往返、AB段、中心整圈、任意位置整圈和图传显示存储测试。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静态滚球至少重复5次，以钢球进入目标±1 cm并保持为调节完成，记录总时间、最大误差和平均误差；循迹及停车至少重复10次，记录单圈时间、AB时间、停车偏差、脱线次数和成功率；整车测试同步保存视频与Ozone/串口遥测，统计视觉数据年龄、钢球最大误差、摆杆限幅次数、电流峰值及安全停机次数。主要仪器包括示波器、数字万用表、倾角仪、标尺、外部计时录像与显示存储计算机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2、测试结果及分析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 已有测试结果与题目指标对照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1984"/>
        <w:gridCol w:w="3175"/>
        <w:gridCol w:w="2211"/>
      </w:tblGrid>
      <w:tr>
        <w:trPr>
          <w:tblHeader w:val="true"/>
        </w:trPr>
        <w:tc>
          <w:tcPr>
            <w:tcW w:type="dxa" w:w="170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测试项目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题目/设计指标</w:t>
            </w:r>
          </w:p>
        </w:tc>
        <w:tc>
          <w:tcPr>
            <w:tcW w:type="dxa" w:w="3175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现有结果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视觉软件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功能与异常处理正确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211项全部通过，用时2.59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已验证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相机采集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640×480、60帧/s稳定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1807帧/30.10 s；60.02帧/s；失败0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完整视觉链路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单帧低于16.67 ms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55～58帧/s；P95 7.1～7.5 ms；P99 7.5～8.5 ms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满足实时性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离线识别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空槽低误检、带球连续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参考匹配空槽527帧零候选；带球975帧候选覆盖100%；端点100%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样本范围满足；非严格精度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广泛动态素材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适应姿态变化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12组端点100%；全范围压力素材候选覆盖95.33%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方案有效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 kHz、50 Hz输入、1 Mbit/s CAN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全量交叉编译；Flash约40.8 kB、RAM约10.2 kB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100 Hz闭环、计时显示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构建通过；Flash 22344 B、SRAM 4507 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理论圈时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单圈≤20 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速度规划推算约16.7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有理论余量，非实测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静态±5 cm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≤5 s，最大误差≤1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源材料未提供规范化实测记录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AB/整圈球位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AB≤8 s；整圈≤30 s；误差≤1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源材料未提供整车实测数据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停车与图传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停车≤2 cm；稳定显示、记录、回放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停车偏差及无线图传端到端数据未提供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待场地/实机验收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测试表明视觉算法、嵌入式实时性、通信协议、控制软件和资源占用达到当前设计阶段要求。空槽零候选与带球候选覆盖证明检测链路具有稳定候选输出，但未建立逐帧物理真值，不能将100%候选覆盖解释为100%识别准确率；0.30 mm/像素仅是理论采样尺度，也不能替代±1 cm位置误差验收。底盘16.7 s为依据编码器标定和速度曲线的计算值，停车偏差、实际圈时及满载弯道成功率仍应以标准场地数据为准。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综合现有证据，本设计已完成H题所需的系统架构、红外循迹、视觉测量、滚球控制、计时显示和安全保护设计，模块软件与实时性指标达到预期，并具备完成赛题的理论条件；但由于缺少静态滚球误差、AB段时间、整圈钢球误差、停车偏差及无线图传实机数据，现阶段不能正式判定整机已全部达到题目要求。补齐表4所列实测项目且最差值满足限值后，方可作出“本设计达到H题全部要求”的最终验收结论。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五、参考文献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[1] TEXAS INSTRUMENTS. MSPM0G350x Mixed-Signal Microcontrollers Datasheet[EB/OL]. Dallas: Texas Instruments,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[2] STMICROELECTRONICS. STM32F405xx/STM32F407xx Datasheet[EB/OL]. Geneva: STMicroelectronics,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[3] DJI. RoboMaster M2006 P36直流无刷减速电机与C610电调使用说明[Z]. 深圳: 深圳市大疆创新科技有限公司.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[4] BRADSKI G, KAEHLER A. Learning OpenCV: Computer Vision with the OpenCV Library[M]. Sebastopol: O'Reilly Media, 2008.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[5] FRANKLIN G F, POWELL J D, EMAMI-NAEINI A. Feedback Control of Dynamic Systems[M]. 8th ed. Boston: Pearson, 2019.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[6] CORKE P. Robotics, Vision and Control: Fundamental Algorithms in MATLAB[M]. 2nd ed. Cham: Springer, 2017.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附录1：电路原理图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附录2：源程序</w:t>
      </w:r>
    </w:p>
    <w:sectPr>
      <w:headerReference w:type="default" r:id="rId17"/>
      <w:footerReference w:type="default" r:id="rId18"/>
      <w:pgSz w:w="11906" w:h="16838"/>
      <w:pgMar w:top="1701" w:right="1417" w:bottom="1417" w:left="1417" w:header="850" w:footer="709" w:gutter="0"/>
      <w:cols w:space="720"/>
      <w:docGrid w:type="lines" w:linePitch="31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D404" w14:textId="77777777">
      <w:r>
        <w:separator/>
      </w:r>
    </w:p>
  </w:endnote>
  <w:endnote w:type="continuationSeparator" w:id="0">
    <w:p w14:paraId="45F6E4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3EB3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480D40A7" w14:textId="77777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F10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III</w:t>
    </w:r>
    <w:r>
      <w:fldChar w:fldCharType="end"/>
    </w:r>
  </w:p>
  <w:p w14:paraId="42004F3F" w14:textId="7777777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2B50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2</w:t>
    </w:r>
    <w:r>
      <w:fldChar w:fldCharType="end"/>
    </w:r>
  </w:p>
  <w:p w14:paraId="3AB17C59" w14:textId="77777777">
    <w:pPr>
      <w:pStyle w:val="a5"/>
      <w:ind w:right="36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Rule="exact" w:line="280" w:before="0" w:after="0"/>
      <w:ind w:firstLine="0"/>
      <w:jc w:val="right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729" w14:textId="77777777">
      <w:r>
        <w:separator/>
      </w:r>
    </w:p>
  </w:footnote>
  <w:footnote w:type="continuationSeparator" w:id="0">
    <w:p w14:paraId="3806BC62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41A"/>
    <w:rsid w:val="00140E32"/>
    <w:rsid w:val="0028778B"/>
    <w:rsid w:val="002951EB"/>
    <w:rsid w:val="002B3CCE"/>
    <w:rsid w:val="002F2974"/>
    <w:rsid w:val="0030276E"/>
    <w:rsid w:val="00345690"/>
    <w:rsid w:val="00416DB3"/>
    <w:rsid w:val="004C15CF"/>
    <w:rsid w:val="004F3621"/>
    <w:rsid w:val="007911AF"/>
    <w:rsid w:val="007F0E3F"/>
    <w:rsid w:val="00932A78"/>
    <w:rsid w:val="00B0259B"/>
    <w:rsid w:val="00BB1A9E"/>
    <w:rsid w:val="00D72EBF"/>
    <w:rsid w:val="00D97DB3"/>
    <w:rsid w:val="00DA6F55"/>
    <w:rsid w:val="00DB4CA1"/>
    <w:rsid w:val="00E06735"/>
    <w:rsid w:val="00F731A0"/>
    <w:rsid w:val="079A14B1"/>
    <w:rsid w:val="13B3501E"/>
    <w:rsid w:val="13B35B2F"/>
    <w:rsid w:val="18157C88"/>
    <w:rsid w:val="19597047"/>
    <w:rsid w:val="2891269A"/>
    <w:rsid w:val="2FB728E1"/>
    <w:rsid w:val="38DC6907"/>
    <w:rsid w:val="38DC737F"/>
    <w:rsid w:val="42EB4F99"/>
    <w:rsid w:val="45E75682"/>
    <w:rsid w:val="4E961955"/>
    <w:rsid w:val="53AA0479"/>
    <w:rsid w:val="54D93442"/>
    <w:rsid w:val="58FD0655"/>
    <w:rsid w:val="632C1F7A"/>
    <w:rsid w:val="70147798"/>
    <w:rsid w:val="718107C0"/>
    <w:rsid w:val="771940C9"/>
    <w:rsid w:val="7C2F5587"/>
    <w:rsid w:val="7D1A17E2"/>
    <w:rsid w:val="7EE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7B9CDF"/>
  <w15:chartTrackingRefBased/>
  <w15:docId w15:val="{8A78B196-76D5-4FA1-9375-76BEF6D5B9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Rule="exact" w:line="440" w:before="0" w:after="0"/>
      <w:jc w:val="both"/>
    </w:pPr>
    <w:rPr>
      <w:rFonts w:ascii="Times New Roman" w:hAnsi="Times New Roman" w:eastAsia="宋体"/>
      <w:kern w:val="2"/>
      <w:sz w:val="24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0" w:after="0" w:line="440" w:lineRule="exact"/>
      <w:outlineLvl w:val="0"/>
    </w:pPr>
    <w:rPr>
      <w:rFonts w:ascii="Times New Roman" w:hAnsi="Times New Roman" w:eastAsia="黑体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0" w:after="0" w:line="440" w:lineRule="exact"/>
      <w:outlineLvl w:val="1"/>
    </w:pPr>
    <w:rPr>
      <w:rFonts w:ascii="Times New Roman" w:eastAsia="宋体" w:hAnsi="Times New Roman"/>
      <w:b/>
      <w:bCs/>
      <w:color w:val="000000"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0" w:after="0" w:line="440" w:lineRule="exact"/>
      <w:outlineLvl w:val="2"/>
    </w:pPr>
    <w:rPr>
      <w:rFonts w:ascii="Times New Roman" w:hAnsi="Times New Roman" w:eastAsia="宋体"/>
      <w:b/>
      <w:bCs/>
      <w:color w:val="000000"/>
      <w:sz w:val="24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SimSun" w:hAnsi="SimSun"/>
      <w:lang w:val="en-US" w:eastAsia="zh-CN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8">
    <w:name w:val="Strong"/>
    <w:uiPriority w:val="22"/>
    <w:qFormat/>
    <w:rsid w:val="00DA6F55"/>
    <w:rPr>
      <w:b/>
      <w:bCs/>
    </w:rPr>
  </w:style>
  <w:style w:type="paragraph" w:customStyle="1" w:styleId="CompactTableText">
    <w:name w:val="Compact Table Text"/>
    <w:pPr>
      <w:spacing w:lineRule="exact" w:line="300" w:before="0" w:after="0"/>
    </w:pPr>
    <w:rPr>
      <w:rFonts w:ascii="Times New Roman" w:hAnsi="Times New Roman" w:eastAsia="宋体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4.xml"/><Relationship Id="rId17" Type="http://schemas.openxmlformats.org/officeDocument/2006/relationships/header" Target="header2.xml"/><Relationship Id="rId18" Type="http://schemas.openxmlformats.org/officeDocument/2006/relationships/footer" Target="footer5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&#35770;&#25991;&#27169;&#26495;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0</TotalTime>
  <Pages>9</Pages>
  <Words>1544</Words>
  <Characters>1852</Characters>
  <Application>Microsoft Office Word</Application>
  <DocSecurity>4</DocSecurity>
  <PresentationFormat/>
  <Lines>193</Lines>
  <Paragraphs>127</Paragraphs>
  <Slides>0</Slides>
  <Notes>0</Notes>
  <HiddenSlides>0</HiddenSlides>
  <MMClips>0</MMClips>
  <ScaleCrop>false</ScaleCrop>
  <Manager/>
  <Company>jujumao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车载平衡滚球运动控制系统（H题）设计报告</dc:title>
  <dc:subject>全国大学生电子设计竞赛广东赛区设计报告</dc:subject>
  <dc:creator/>
  <cp:keywords/>
  <dc:description/>
  <cp:lastModifiedBy/>
  <cp:revision>2</cp:revision>
  <dcterms:created xsi:type="dcterms:W3CDTF">2026-07-31T21:10:00Z</dcterms:created>
  <dcterms:modified xsi:type="dcterms:W3CDTF">2026-07-31T21:10:00Z</dcterms:modified>
  <cp:category/>
</cp:coreProperties>
</file>