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keepNext/>
        <w:spacing w:lineRule="exact" w:line="520" w:before="0" w:after="160"/>
        <w:ind w:firstLine="0"/>
        <w:jc w:val="center"/>
      </w:pPr>
      <w:r>
        <w:rPr>
          <w:rFonts w:ascii="Times New Roman" w:hAnsi="Times New Roman" w:eastAsia="黑体"/>
          <w:b/>
          <w:sz w:val="36"/>
        </w:rPr>
        <w:t>车载平衡滚球运动控制系统（H题）</w:t>
      </w:r>
    </w:p>
    <w:p>
      <w:pPr>
        <w:keepNext/>
        <w:spacing w:lineRule="exact" w:line="520" w:before="0" w:after="80"/>
        <w:ind w:firstLine="0"/>
        <w:jc w:val="center"/>
      </w:pPr>
      <w:r>
        <w:rPr>
          <w:rFonts w:ascii="Times New Roman" w:hAnsi="Times New Roman" w:eastAsia="黑体"/>
          <w:b/>
          <w:sz w:val="32"/>
        </w:rPr>
        <w:t>摘  要</w:t>
      </w:r>
    </w:p>
    <w:p>
      <w:pPr>
        <w:keepNext w:val="0"/>
        <w:spacing w:lineRule="exact" w:line="440" w:before="0" w:after="0"/>
        <w:ind w:firstLine="420"/>
        <w:jc w:val="both"/>
      </w:pPr>
      <w:r>
        <w:rPr>
          <w:rFonts w:ascii="Times New Roman" w:hAnsi="Times New Roman" w:eastAsia="宋体"/>
          <w:sz w:val="24"/>
        </w:rPr>
        <w:t>本设计面向H题车载平衡滚球运动控制系统，构建七路红外循迹底盘、动态视觉测量、串级平衡控制和分路电源系统。视觉端以动态端点重建800×64条带，融合空槽差分、暗体特征与Alpha-Beta跟踪，50 Hz输出钢球位置；平衡端结合位置PID、BMI088加速度前馈及M2006位置—速度双环；底盘采用四轮两驱差速结构和七路加权质心循迹。视觉软件211项测试全部通过，完整链路55～58帧/s，参考匹配素材空槽527帧零候选、带球975帧候选覆盖100%，理论单圈约16.7 s。系统架构、接口及软件已验证，钢球误差、停车偏差和整车圈时须以最终场地数据验收。</w:t>
      </w:r>
    </w:p>
    <w:p>
      <w:pPr>
        <w:keepNext w:val="0"/>
        <w:spacing w:lineRule="exact" w:line="440" w:before="80" w:after="0"/>
        <w:ind w:firstLine="0"/>
      </w:pPr>
      <w:r>
        <w:rPr>
          <w:rFonts w:ascii="Times New Roman" w:hAnsi="Times New Roman" w:eastAsia="黑体"/>
          <w:b/>
          <w:sz w:val="24"/>
        </w:rPr>
        <w:t>关键词：</w:t>
      </w:r>
      <w:r>
        <w:rPr>
          <w:rFonts w:ascii="Times New Roman" w:hAnsi="Times New Roman" w:eastAsia="宋体"/>
          <w:sz w:val="24"/>
        </w:rPr>
        <w:t>动态视觉；滚球平衡；串级控制；红外循迹；差速底盘</w:t>
      </w:r>
    </w:p>
    <w:p>
      <w:pPr>
        <w:sectPr>
          <w:headerReference w:type="default" r:id="rId15"/>
          <w:footerReference w:type="default" r:id="rId16"/>
          <w:pgSz w:w="11906" w:h="16838"/>
          <w:pgMar w:top="1701" w:right="1417" w:bottom="1417" w:left="1417" w:header="850" w:footer="709" w:gutter="0"/>
          <w:cols w:space="720"/>
          <w:docGrid w:type="lines" w:linePitch="312"/>
        </w:sectPr>
      </w:pPr>
    </w:p>
    <w:p>
      <w:pPr>
        <w:keepNext/>
        <w:spacing w:lineRule="exact" w:line="520" w:before="0" w:after="80"/>
        <w:ind w:firstLine="0"/>
        <w:jc w:val="center"/>
      </w:pPr>
      <w:r>
        <w:rPr>
          <w:rFonts w:ascii="Times New Roman" w:hAnsi="Times New Roman" w:eastAsia="黑体"/>
          <w:b/>
          <w:sz w:val="36"/>
        </w:rPr>
        <w:t>车载平衡滚球运动控制系统（H题）</w:t>
      </w:r>
    </w:p>
    <w:p>
      <w:pPr>
        <w:pStyle w:val="1"/>
      </w:pPr>
      <w:r>
        <w:rPr>
          <w:rFonts w:ascii="Times New Roman" w:hAnsi="Times New Roman" w:eastAsia="黑体"/>
          <w:b/>
          <w:sz w:val="32"/>
        </w:rPr>
        <w:t>一、系统方案</w:t>
      </w:r>
    </w:p>
    <w:p>
      <w:pPr>
        <w:keepNext w:val="0"/>
        <w:spacing w:lineRule="exact" w:line="440" w:before="0" w:after="0"/>
        <w:ind w:firstLine="420"/>
        <w:jc w:val="both"/>
      </w:pPr>
      <w:r>
        <w:rPr>
          <w:rFonts w:ascii="Times New Roman" w:hAnsi="Times New Roman" w:eastAsia="宋体"/>
          <w:sz w:val="24"/>
        </w:rPr>
        <w:t>系统由循迹与底盘、视觉识别与图传、滚球平衡与摆杆执行、电源及人机交互组成。针对图像运算、毫秒级电机控制和10 ms循迹控制在资源与实时性上的差异，采用树莓派5、STM32F407和MSPM0G3507构成异构分布式控制架构。</w:t>
      </w:r>
    </w:p>
    <w:p>
      <w:pPr>
        <w:pStyle w:val="2"/>
      </w:pPr>
      <w:r>
        <w:rPr>
          <w:rFonts w:ascii="Times New Roman" w:hAnsi="Times New Roman" w:eastAsia="宋体"/>
          <w:b/>
          <w:sz w:val="28"/>
        </w:rPr>
        <w:t>1、主控制器件与电源方案的论证与选择</w:t>
      </w:r>
    </w:p>
    <w:p>
      <w:pPr>
        <w:keepNext w:val="0"/>
        <w:spacing w:lineRule="exact" w:line="440" w:before="0" w:after="0"/>
        <w:ind w:firstLine="420"/>
        <w:jc w:val="both"/>
      </w:pPr>
      <w:r>
        <w:rPr>
          <w:rFonts w:ascii="Times New Roman" w:hAnsi="Times New Roman" w:eastAsia="宋体"/>
          <w:sz w:val="24"/>
        </w:rPr>
        <w:t>方案一采用单片机集中完成视觉、滚球和底盘控制，硬件简单但难以承担60帧/s图像处理；方案二采用单板计算机统一控制，图像能力充足但硬实时、PWM与故障隔离能力不足；方案三按任务时间尺度分配控制器：树莓派5处理OpenCV视觉及显示存储，STM32F407以1 kHz完成滚球与M2006串级控制，MSPM0G3507以100 Hz完成七路循迹、双编码器和计时显示。故选方案三。</w:t>
      </w:r>
    </w:p>
    <w:p>
      <w:pPr>
        <w:keepNext w:val="0"/>
        <w:spacing w:lineRule="exact" w:line="440" w:before="0" w:after="0"/>
        <w:ind w:firstLine="420"/>
        <w:jc w:val="both"/>
      </w:pPr>
      <w:r>
        <w:rPr>
          <w:rFonts w:ascii="Times New Roman" w:hAnsi="Times New Roman" w:eastAsia="宋体"/>
          <w:sz w:val="24"/>
        </w:rPr>
        <w:t>电源方面，线性稳压损耗大，单路开关电源易使电机纹波耦合至相机和传感器；本设计采用3S锂电池形成约11.1 V动力母线，C610和底盘H桥由动力支路供电，独立降压形成5 V视觉/图传电源及3.3 V逻辑电源，各支路共地并配置保险、反接保护、储能电容与高频去耦。9.5 V持续300 ms触发欠压停机。该方案兼顾M2006现有12 V运行状态、树莓派瞬态负载和传感器低噪声要求。</w:t>
      </w:r>
    </w:p>
    <w:p>
      <w:pPr>
        <w:pStyle w:val="2"/>
      </w:pPr>
      <w:r>
        <w:rPr>
          <w:rFonts w:ascii="Times New Roman" w:hAnsi="Times New Roman" w:eastAsia="宋体"/>
          <w:b/>
          <w:sz w:val="28"/>
        </w:rPr>
        <w:t>2、视觉识别与图传方案的论证与选择</w:t>
      </w:r>
    </w:p>
    <w:p>
      <w:pPr>
        <w:keepNext w:val="0"/>
        <w:spacing w:lineRule="exact" w:line="440" w:before="0" w:after="0"/>
        <w:ind w:firstLine="420"/>
        <w:jc w:val="both"/>
      </w:pPr>
      <w:r>
        <w:rPr>
          <w:rFonts w:ascii="Times New Roman" w:hAnsi="Times New Roman" w:eastAsia="宋体"/>
          <w:sz w:val="24"/>
        </w:rPr>
        <w:t>固定ROI方案计算量小，但摆杆转动或车体振动后会发生区域截断；YOLO等深度学习方案适应性强，但需大量标注样本，树莓派CPU部署开销较大，且检测框仍需轴向标定。最终采用动态端点标记、透视归一化和一维融合检测：左端单标记、右端双标记实时重建摆杆坐标系，将图像映射为800×64条带，再融合三姿态空槽参考差分、梯度和局部暗体响应。USB摄像头工作于640×480、MJPG、60帧/s；树莓派5兼顾识别、录像和网络预览。图传预留H.264/UDP 25帧/s、4 Mbit/s、GOP 30、端口5600和队列深度2，外部计算机负责显示、存储及回放。</w:t>
      </w:r>
    </w:p>
    <w:p>
      <w:pPr>
        <w:pStyle w:val="2"/>
      </w:pPr>
      <w:r>
        <w:rPr>
          <w:rFonts w:ascii="Times New Roman" w:hAnsi="Times New Roman" w:eastAsia="宋体"/>
          <w:b/>
          <w:sz w:val="28"/>
        </w:rPr>
        <w:t>3、滚球平衡与摆杆执行方案的论证与选择</w:t>
      </w:r>
    </w:p>
    <w:p>
      <w:pPr>
        <w:keepNext w:val="0"/>
        <w:spacing w:lineRule="exact" w:line="440" w:before="0" w:after="0"/>
        <w:ind w:firstLine="420"/>
        <w:jc w:val="both"/>
      </w:pPr>
      <w:r>
        <w:rPr>
          <w:rFonts w:ascii="Times New Roman" w:hAnsi="Times New Roman" w:eastAsia="宋体"/>
          <w:sz w:val="24"/>
        </w:rPr>
        <w:t>单闭环位置PID实现简单，但小车加减速时只能在钢球位移后纠偏；LQR能综合多状态，然而对非对称连杆、摩擦和完整状态估计依赖较强。最终选择钢球位置PID、滚动动力学反算、BMI088纵向加速度前馈以及电机位置—速度双环的复合方案，使视觉反馈消除稳态偏差，前馈提前抵消底盘扰动，快慢环分离便于现场整定。执行机构比较舵机、有刷减速电机和M2006+C610后，选用36:1 M2006 P36无刷减速电机及C610电调；其8192计数编码器、CAN反馈和温度信息适合高频微调，连续转矩1 N·m，正常输出轴速度限制为±45 r/min。</w:t>
      </w:r>
    </w:p>
    <w:p>
      <w:pPr>
        <w:pStyle w:val="2"/>
      </w:pPr>
      <w:r>
        <w:rPr>
          <w:rFonts w:ascii="Times New Roman" w:hAnsi="Times New Roman" w:eastAsia="宋体"/>
          <w:b/>
          <w:sz w:val="28"/>
        </w:rPr>
        <w:t>4、循迹检测与底盘方案的论证与选择</w:t>
      </w:r>
    </w:p>
    <w:p>
      <w:pPr>
        <w:keepNext w:val="0"/>
        <w:spacing w:lineRule="exact" w:line="440" w:before="0" w:after="0"/>
        <w:ind w:firstLine="420"/>
        <w:jc w:val="both"/>
      </w:pPr>
      <w:r>
        <w:rPr>
          <w:rFonts w:ascii="Times New Roman" w:hAnsi="Times New Roman" w:eastAsia="宋体"/>
          <w:sz w:val="24"/>
        </w:rPr>
        <w:t>线阵CCD能够提供连续灰度与曲率信息，但处理和曝光链路复杂，且题目明确规定循迹只能使用红外光电模块。故选七路反射式红外数字阵列，S1～S7横向布置，中间S4对准车体中心；多通道状态既可估计横向偏差，也可识别A点宽启停线。底盘采用四轮两驱差速结构，两只主动轮独立编码调速，两只万向轮承载随动，机械链短、四点支承稳定，适合两段1.5 m直线和半径0.5 m半圆弧组成的环形路线。驱动选用双路TB6612FNG类H桥，终点采用短路制动。</w:t>
      </w:r>
    </w:p>
    <w:p>
      <w:pPr>
        <w:keepNext/>
        <w:spacing w:lineRule="exact" w:line="360" w:before="40" w:after="40"/>
        <w:ind w:firstLine="0"/>
        <w:jc w:val="center"/>
      </w:pPr>
      <w:r>
        <w:rPr>
          <w:rFonts w:ascii="Times New Roman" w:hAnsi="Times New Roman" w:eastAsia="宋体"/>
          <w:sz w:val="21"/>
        </w:rPr>
        <w:t>表1  系统各子系统最终选型</w:t>
      </w:r>
    </w:p>
    <w:tbl>
      <w:tblPr>
        <w:tblW w:type="dxa" w:w="9072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247"/>
        <w:gridCol w:w="2324"/>
        <w:gridCol w:w="2381"/>
        <w:gridCol w:w="3118"/>
      </w:tblGrid>
      <w:tr>
        <w:trPr>
          <w:tblHeader w:val="true"/>
        </w:trPr>
        <w:tc>
          <w:tcPr>
            <w:tcW w:type="dxa" w:w="1247"/>
            <w:vAlign w:val="center"/>
            <w:shd w:fill="E7E6E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子系统</w:t>
            </w:r>
          </w:p>
        </w:tc>
        <w:tc>
          <w:tcPr>
            <w:tcW w:type="dxa" w:w="2324"/>
            <w:vAlign w:val="center"/>
            <w:shd w:fill="E7E6E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比较方案</w:t>
            </w:r>
          </w:p>
        </w:tc>
        <w:tc>
          <w:tcPr>
            <w:tcW w:type="dxa" w:w="2381"/>
            <w:vAlign w:val="center"/>
            <w:shd w:fill="E7E6E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最终方案</w:t>
            </w:r>
          </w:p>
        </w:tc>
        <w:tc>
          <w:tcPr>
            <w:tcW w:type="dxa" w:w="3118"/>
            <w:vAlign w:val="center"/>
            <w:shd w:fill="E7E6E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选型结论</w:t>
            </w:r>
          </w:p>
        </w:tc>
      </w:tr>
      <w:tr>
        <w:tc>
          <w:tcPr>
            <w:tcW w:type="dxa" w:w="124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控制器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单MCU/单板机/异构分布</w:t>
            </w:r>
          </w:p>
        </w:tc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树莓派5+STM32F407+MSPM0G3507</w:t>
            </w:r>
          </w:p>
        </w:tc>
        <w:tc>
          <w:tcPr>
            <w:tcW w:type="dxa" w:w="311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算力与实时控制分离</w:t>
            </w:r>
          </w:p>
        </w:tc>
      </w:tr>
      <w:tr>
        <w:tc>
          <w:tcPr>
            <w:tcW w:type="dxa" w:w="124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视觉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固定ROI/深度学习/动态几何</w:t>
            </w:r>
          </w:p>
        </w:tc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动态标记+归一化条带</w:t>
            </w:r>
          </w:p>
        </w:tc>
        <w:tc>
          <w:tcPr>
            <w:tcW w:type="dxa" w:w="311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实时、可解释、适应摆杆运动</w:t>
            </w:r>
          </w:p>
        </w:tc>
      </w:tr>
      <w:tr>
        <w:tc>
          <w:tcPr>
            <w:tcW w:type="dxa" w:w="124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平衡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单PID/LQR/串级复合</w:t>
            </w:r>
          </w:p>
        </w:tc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PID+逆动力学+IMU前馈</w:t>
            </w:r>
          </w:p>
        </w:tc>
        <w:tc>
          <w:tcPr>
            <w:tcW w:type="dxa" w:w="311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抗扰与调试效率兼顾</w:t>
            </w:r>
          </w:p>
        </w:tc>
      </w:tr>
      <w:tr>
        <w:tc>
          <w:tcPr>
            <w:tcW w:type="dxa" w:w="124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摆杆驱动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舵机/有刷H桥/M2006+C610</w:t>
            </w:r>
          </w:p>
        </w:tc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M2006 P36+C610</w:t>
            </w:r>
          </w:p>
        </w:tc>
        <w:tc>
          <w:tcPr>
            <w:tcW w:type="dxa" w:w="311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反馈完整、CAN抗干扰</w:t>
            </w:r>
          </w:p>
        </w:tc>
      </w:tr>
      <w:tr>
        <w:tc>
          <w:tcPr>
            <w:tcW w:type="dxa" w:w="124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循迹底盘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CCD/红外；舵向/差速</w:t>
            </w:r>
          </w:p>
        </w:tc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七路红外+四轮两驱</w:t>
            </w:r>
          </w:p>
        </w:tc>
        <w:tc>
          <w:tcPr>
            <w:tcW w:type="dxa" w:w="311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符合题目限制、支承稳定</w:t>
            </w:r>
          </w:p>
        </w:tc>
      </w:tr>
      <w:tr>
        <w:tc>
          <w:tcPr>
            <w:tcW w:type="dxa" w:w="124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电源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线性/单路DC-DC/分路DC-DC</w:t>
            </w:r>
          </w:p>
        </w:tc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3S母线+动力/5 V/3.3 V分路</w:t>
            </w:r>
          </w:p>
        </w:tc>
        <w:tc>
          <w:tcPr>
            <w:tcW w:type="dxa" w:w="311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降低动力噪声耦合</w:t>
            </w:r>
          </w:p>
        </w:tc>
      </w:tr>
    </w:tbl>
    <w:p>
      <w:pPr>
        <w:keepNext w:val="0"/>
        <w:spacing w:lineRule="exact" w:line="160" w:before="0" w:after="0"/>
        <w:ind w:firstLine="0"/>
      </w:pPr>
    </w:p>
    <w:p>
      <w:pPr>
        <w:pStyle w:val="1"/>
      </w:pPr>
      <w:r>
        <w:rPr>
          <w:rFonts w:ascii="Times New Roman" w:hAnsi="Times New Roman" w:eastAsia="黑体"/>
          <w:b/>
          <w:sz w:val="32"/>
        </w:rPr>
        <w:t>二、系统理论分析与计算</w:t>
      </w:r>
    </w:p>
    <w:p>
      <w:pPr>
        <w:pStyle w:val="2"/>
      </w:pPr>
      <w:r>
        <w:rPr>
          <w:rFonts w:ascii="Times New Roman" w:hAnsi="Times New Roman" w:eastAsia="宋体"/>
          <w:b/>
          <w:sz w:val="28"/>
        </w:rPr>
        <w:t>1、视觉测量原理与计算</w:t>
      </w:r>
    </w:p>
    <w:p>
      <w:pPr>
        <w:keepNext w:val="0"/>
        <w:spacing w:lineRule="exact" w:line="440" w:before="0" w:after="0"/>
        <w:ind w:firstLine="420"/>
        <w:jc w:val="both"/>
      </w:pPr>
      <w:r>
        <w:rPr>
          <w:rFonts w:ascii="Times New Roman" w:hAnsi="Times New Roman" w:eastAsia="宋体"/>
          <w:sz w:val="24"/>
        </w:rPr>
        <w:t>设左右端点为P_L、P_R，右端双标记中心取两候选点均值；由端点差建立轴向单位向量u和法向量n，并用四点单应矩阵H把动态四边形映射为固定条带。端点距离限制430～610像素，摆杆角度限制±12°，帧间跳变不超过35像素；标记白阈值150，面积4～80 px²、圆度不低于0.38、长宽比不大于1.8、黑环比例不低于0.30，右端点距8～30像素、方向90°±35°。</w:t>
      </w:r>
    </w:p>
    <w:p>
      <w:pPr>
        <w:keepNext w:val="0"/>
        <w:tabs>
          <w:tab w:pos="4535" w:val="center"/>
          <w:tab w:pos="8957" w:val="right"/>
        </w:tabs>
        <w:spacing w:lineRule="exact" w:line="480" w:before="0" w:after="0"/>
        <w:ind w:firstLine="0"/>
      </w:pPr>
      <w:r>
        <w:tab/>
      </w:r>
      <w:r>
        <m:oMath xmlns:mml="http://www.w3.org/1998/Math/MathML">
          <m:r>
            <m:t>u=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R</m:t>
                  </m:r>
                </m:sub>
              </m:sSub>
              <m:r>
                <m:t>−</m:t>
              </m:r>
              <m:sSub>
                <m:e>
                  <m:r>
                    <m:t>P</m:t>
                  </m:r>
                </m:e>
                <m:sub>
                  <m:r>
                    <m:t>L</m:t>
                  </m:r>
                </m:sub>
              </m:sSub>
            </m:num>
            <m:den>
              <m:r>
                <m:t>∥</m:t>
              </m:r>
              <m:sSub>
                <m:e>
                  <m:r>
                    <m:t>P</m:t>
                  </m:r>
                </m:e>
                <m:sub>
                  <m:r>
                    <m:t>R</m:t>
                  </m:r>
                </m:sub>
              </m:sSub>
              <m:r>
                <m:t>−</m:t>
              </m:r>
              <m:sSub>
                <m:e>
                  <m:r>
                    <m:t>P</m:t>
                  </m:r>
                </m:e>
                <m:sub>
                  <m:r>
                    <m:t>L</m:t>
                  </m:r>
                </m:sub>
              </m:sSub>
              <m:r>
                <m:t>∥</m:t>
              </m:r>
            </m:den>
          </m:f>
          <m:r>
            <m:t>,</m:t>
          </m:r>
          <m:r>
            <m:t>n=(−</m:t>
          </m:r>
          <m:sSub>
            <m:e>
              <m:r>
                <m:t>u</m:t>
              </m:r>
            </m:e>
            <m:sub>
              <m:r>
                <m:t>y</m:t>
              </m:r>
            </m:sub>
          </m:sSub>
          <m:r>
            <m:t>,</m:t>
          </m:r>
          <m:sSub>
            <m:e>
              <m:r>
                <m:t>u</m:t>
              </m:r>
            </m:e>
            <m:sub>
              <m:r>
                <m:t>x</m:t>
              </m:r>
            </m:sub>
          </m:sSub>
          <m:r>
            <m:t>)</m:t>
          </m:r>
        </m:oMath>
      </w:r>
      <w:r>
        <w:rPr>
          <w:rFonts w:ascii="Times New Roman" w:hAnsi="Times New Roman" w:eastAsia="宋体"/>
          <w:sz w:val="21"/>
        </w:rPr>
        <w:tab/>
        <w:t>（2-1）</w:t>
      </w:r>
    </w:p>
    <w:p>
      <w:pPr>
        <w:keepNext w:val="0"/>
        <w:tabs>
          <w:tab w:pos="4535" w:val="center"/>
          <w:tab w:pos="8957" w:val="right"/>
        </w:tabs>
        <w:spacing w:lineRule="exact" w:line="480" w:before="0" w:after="0"/>
        <w:ind w:firstLine="0"/>
      </w:pPr>
      <w:r>
        <w:tab/>
      </w:r>
      <w:r>
        <m:oMath xmlns:mml="http://www.w3.org/1998/Math/MathML">
          <m:r>
            <m:t>λ</m:t>
          </m:r>
          <m:sSup>
            <m:e>
              <m:r>
                <m:t>p</m:t>
              </m:r>
            </m:e>
            <m:sup>
              <m:r>
                <m:t>′</m:t>
              </m:r>
            </m:sup>
          </m:sSup>
          <m:r>
            <m:t>=Hp</m:t>
          </m:r>
        </m:oMath>
      </w:r>
      <w:r>
        <w:rPr>
          <w:rFonts w:ascii="Times New Roman" w:hAnsi="Times New Roman" w:eastAsia="宋体"/>
          <w:sz w:val="21"/>
        </w:rPr>
        <w:tab/>
        <w:t>（2-2）</w:t>
      </w:r>
    </w:p>
    <w:p>
      <w:pPr>
        <w:keepNext w:val="0"/>
        <w:spacing w:lineRule="exact" w:line="440" w:before="0" w:after="0"/>
        <w:ind w:firstLine="420"/>
        <w:jc w:val="both"/>
      </w:pPr>
      <w:r>
        <w:rPr>
          <w:rFonts w:ascii="Times New Roman" w:hAnsi="Times New Roman" w:eastAsia="宋体"/>
          <w:sz w:val="24"/>
        </w:rPr>
        <w:t>钢球检测将灰度差分与梯度差分按1.0:0.65融合，9像素平滑后筛选峰值18、峰宽8～80像素和跟踪半径120像素；局部暗度路径采用101像素基线核、阈值8.0和3～60像素峰宽作为参考失配时的补充。低、中、高参考摆杆长度为501.88、558.79、589.59像素。钢球中心投影到摆杆轴后，以t_left=0.9495781064、t_right=0.0514231734换算24.0 cm有效行程，理论采样尺度约0.30 mm/像素。</w:t>
      </w:r>
    </w:p>
    <w:p>
      <w:pPr>
        <w:keepNext w:val="0"/>
        <w:tabs>
          <w:tab w:pos="4535" w:val="center"/>
          <w:tab w:pos="8957" w:val="right"/>
        </w:tabs>
        <w:spacing w:lineRule="exact" w:line="480" w:before="0" w:after="0"/>
        <w:ind w:firstLine="0"/>
      </w:pPr>
      <w:r>
        <w:tab/>
      </w:r>
      <w:r>
        <m:oMath xmlns:mml="http://www.w3.org/1998/Math/MathML">
          <m:r>
            <m:t>t=</m:t>
          </m:r>
          <m:f>
            <m:fPr>
              <m:type m:val="bar"/>
            </m:fPr>
            <m:num>
              <m:r>
                <m:t>(</m:t>
              </m:r>
              <m:sSub>
                <m:e>
                  <m:r>
                    <m:t>P</m:t>
                  </m:r>
                </m:e>
                <m:sub>
                  <m:r>
                    <m:t>B</m:t>
                  </m:r>
                </m:sub>
              </m:sSub>
              <m:r>
                <m:t>−</m:t>
              </m:r>
              <m:sSub>
                <m:e>
                  <m:r>
                    <m:t>P</m:t>
                  </m:r>
                </m:e>
                <m:sub>
                  <m:r>
                    <m:t>L</m:t>
                  </m:r>
                </m:sub>
              </m:sSub>
              <m:r>
                <m:t>)·(</m:t>
              </m:r>
              <m:sSub>
                <m:e>
                  <m:r>
                    <m:t>P</m:t>
                  </m:r>
                </m:e>
                <m:sub>
                  <m:r>
                    <m:t>R</m:t>
                  </m:r>
                </m:sub>
              </m:sSub>
              <m:r>
                <m:t>−</m:t>
              </m:r>
              <m:sSub>
                <m:e>
                  <m:r>
                    <m:t>P</m:t>
                  </m:r>
                </m:e>
                <m:sub>
                  <m:r>
                    <m:t>L</m:t>
                  </m:r>
                </m:sub>
              </m:sSub>
              <m:r>
                <m:t>)</m:t>
              </m:r>
            </m:num>
            <m:den>
              <m:sSup>
                <m:e>
                  <m:r>
                    <m:t>∥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R</m:t>
                      </m:r>
                    </m:sub>
                  </m:sSub>
                  <m:r>
                    <m:t>−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∥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,</m:t>
          </m:r>
          <m:r>
            <m:t>x=</m:t>
          </m:r>
          <m:sSub>
            <m:e>
              <m:r>
                <m:t>L</m:t>
              </m:r>
            </m:e>
            <m:sub>
              <m:r>
                <m:rPr>
                  <m:sty m:val="p"/>
                </m:rPr>
                <m:t>eff</m:t>
              </m:r>
            </m:sub>
          </m:sSub>
          <m:f>
            <m:fPr>
              <m:type m:val="bar"/>
            </m:fPr>
            <m:num>
              <m:r>
                <m:t>t−</m:t>
              </m:r>
              <m:sSub>
                <m:e>
                  <m:r>
                    <m:t>t</m:t>
                  </m:r>
                </m:e>
                <m:sub>
                  <m:r>
                    <m:rPr>
                      <m:sty m:val="p"/>
                    </m:rPr>
                    <m:t>left</m:t>
                  </m:r>
                </m:sub>
              </m:sSub>
            </m:num>
            <m:den>
              <m:sSub>
                <m:e>
                  <m:r>
                    <m:t>t</m:t>
                  </m:r>
                </m:e>
                <m:sub>
                  <m:r>
                    <m:rPr>
                      <m:sty m:val="p"/>
                    </m:rPr>
                    <m:t>right</m:t>
                  </m:r>
                </m:sub>
              </m:sSub>
              <m:r>
                <m:t>−</m:t>
              </m:r>
              <m:sSub>
                <m:e>
                  <m:r>
                    <m:t>t</m:t>
                  </m:r>
                </m:e>
                <m:sub>
                  <m:r>
                    <m:rPr>
                      <m:sty m:val="p"/>
                    </m:rPr>
                    <m:t>left</m:t>
                  </m:r>
                </m:sub>
              </m:sSub>
            </m:den>
          </m:f>
        </m:oMath>
      </w:r>
      <w:r>
        <w:rPr>
          <w:rFonts w:ascii="Times New Roman" w:hAnsi="Times New Roman" w:eastAsia="宋体"/>
          <w:sz w:val="21"/>
        </w:rPr>
        <w:tab/>
        <w:t>（2-3）</w:t>
      </w:r>
    </w:p>
    <w:p>
      <w:pPr>
        <w:keepNext w:val="0"/>
        <w:spacing w:lineRule="exact" w:line="440" w:before="0" w:after="0"/>
        <w:ind w:firstLine="420"/>
        <w:jc w:val="both"/>
      </w:pPr>
      <w:r>
        <w:rPr>
          <w:rFonts w:ascii="Times New Roman" w:hAnsi="Times New Roman" w:eastAsia="宋体"/>
          <w:sz w:val="24"/>
        </w:rPr>
        <w:t>Alpha-Beta跟踪器取α=0.75、β=0.12，依据恒速度模型校正位置和速度；漏检不超过3帧时输出PREDICTED，超限即LOST。该处理提高连续性，但预测状态不能等同直接检测。</w:t>
      </w:r>
    </w:p>
    <w:p>
      <w:pPr>
        <w:keepNext w:val="0"/>
        <w:tabs>
          <w:tab w:pos="4535" w:val="center"/>
          <w:tab w:pos="8957" w:val="right"/>
        </w:tabs>
        <w:spacing w:lineRule="exact" w:line="480" w:before="0" w:after="0"/>
        <w:ind w:firstLine="0"/>
      </w:pPr>
      <w:r>
        <w:tab/>
      </w:r>
      <w:r>
        <m:oMath xmlns:mml="http://www.w3.org/1998/Math/MathML">
          <m:sSup>
            <m:e>
              <m:limUpp>
                <m:e>
                  <m:r>
                    <m:t>x</m:t>
                  </m:r>
                </m:e>
                <m:lim>
                  <m:r>
                    <m:t>^</m:t>
                  </m:r>
                </m:lim>
              </m:limUpp>
            </m:e>
            <m:sup>
              <m:r>
                <m:t>−</m:t>
              </m:r>
            </m:sup>
          </m:sSup>
          <m:sSub>
            <m:e/>
            <m:sub>
              <m:r>
                <m:t>k</m:t>
              </m:r>
            </m:sub>
          </m:sSub>
          <m:r>
            <m:t>=</m:t>
          </m:r>
          <m:sSub>
            <m:e>
              <m:limUpp>
                <m:e>
                  <m:r>
                    <m:t>x</m:t>
                  </m:r>
                </m:e>
                <m:lim>
                  <m:r>
                    <m:t>^</m:t>
                  </m:r>
                </m:lim>
              </m:limUpp>
            </m:e>
            <m:sub>
              <m:r>
                <m:t>k−1</m:t>
              </m:r>
            </m:sub>
          </m:sSub>
          <m:r>
            <m:t>+</m:t>
          </m:r>
          <m:sSub>
            <m:e>
              <m:limUpp>
                <m:e>
                  <m:r>
                    <m:t>v</m:t>
                  </m:r>
                </m:e>
                <m:lim>
                  <m:r>
                    <m:t>^</m:t>
                  </m:r>
                </m:lim>
              </m:limUpp>
            </m:e>
            <m:sub>
              <m:r>
                <m:t>k−1</m:t>
              </m:r>
            </m:sub>
          </m:sSub>
          <m:r>
            <m:rPr>
              <m:sty m:val="p"/>
            </m:rPr>
            <m:t>Δt</m:t>
          </m:r>
          <m:r>
            <m:t>,</m:t>
          </m:r>
          <m:sSub>
            <m:e>
              <m:limUpp>
                <m:e>
                  <m:r>
                    <m:t>x</m:t>
                  </m:r>
                </m:e>
                <m:lim>
                  <m:r>
                    <m:t>^</m:t>
                  </m:r>
                </m:lim>
              </m:limUpp>
            </m:e>
            <m:sub>
              <m:r>
                <m:t>k</m:t>
              </m:r>
            </m:sub>
          </m:sSub>
          <m:r>
            <m:t>=</m:t>
          </m:r>
          <m:sSup>
            <m:e>
              <m:limUpp>
                <m:e>
                  <m:r>
                    <m:t>x</m:t>
                  </m:r>
                </m:e>
                <m:lim>
                  <m:r>
                    <m:t>^</m:t>
                  </m:r>
                </m:lim>
              </m:limUpp>
            </m:e>
            <m:sup>
              <m:r>
                <m:t>−</m:t>
              </m:r>
            </m:sup>
          </m:sSup>
          <m:sSub>
            <m:e/>
            <m:sub>
              <m:r>
                <m:t>k</m:t>
              </m:r>
            </m:sub>
          </m:sSub>
          <m:r>
            <m:t>+α</m:t>
          </m:r>
          <m:sSub>
            <m:e>
              <m:r>
                <m:t>r</m:t>
              </m:r>
            </m:e>
            <m:sub>
              <m:r>
                <m:t>k</m:t>
              </m:r>
            </m:sub>
          </m:sSub>
        </m:oMath>
      </w:r>
      <w:r>
        <w:rPr>
          <w:rFonts w:ascii="Times New Roman" w:hAnsi="Times New Roman" w:eastAsia="宋体"/>
          <w:sz w:val="21"/>
        </w:rPr>
        <w:tab/>
        <w:t>（2-4）</w:t>
      </w:r>
    </w:p>
    <w:p>
      <w:pPr>
        <w:pStyle w:val="2"/>
      </w:pPr>
      <w:r>
        <w:rPr>
          <w:rFonts w:ascii="Times New Roman" w:hAnsi="Times New Roman" w:eastAsia="宋体"/>
          <w:b/>
          <w:sz w:val="28"/>
        </w:rPr>
        <w:t>2、滚球平衡与电机串级控制计算</w:t>
      </w:r>
    </w:p>
    <w:p>
      <w:pPr>
        <w:keepNext w:val="0"/>
        <w:spacing w:lineRule="exact" w:line="440" w:before="0" w:after="0"/>
        <w:ind w:firstLine="420"/>
        <w:jc w:val="both"/>
      </w:pPr>
      <w:r>
        <w:rPr>
          <w:rFonts w:ascii="Times New Roman" w:hAnsi="Times New Roman" w:eastAsia="宋体"/>
          <w:sz w:val="24"/>
        </w:rPr>
        <w:t>钢球近似为均匀实心球，在凹槽内无滑动滚动。设钢球轴向位置为x、摆杆角为θ、小车纵向加速度为a_c，则平动与转动惯量共同形成5/7等效系数。</w:t>
      </w:r>
    </w:p>
    <w:p>
      <w:pPr>
        <w:keepNext w:val="0"/>
        <w:tabs>
          <w:tab w:pos="4535" w:val="center"/>
          <w:tab w:pos="8957" w:val="right"/>
        </w:tabs>
        <w:spacing w:lineRule="exact" w:line="480" w:before="0" w:after="0"/>
        <w:ind w:firstLine="0"/>
      </w:pPr>
      <w:r>
        <w:tab/>
      </w:r>
      <w:r>
        <m:oMath xmlns:mml="http://www.w3.org/1998/Math/MathML">
          <m:limUpp>
            <m:e>
              <m:r>
                <m:t>x</m:t>
              </m:r>
            </m:e>
            <m:lim>
              <m:r>
                <m:t>¨</m:t>
              </m:r>
            </m:lim>
          </m:limUpp>
          <m:r>
            <m:t>=−</m:t>
          </m:r>
          <m:f>
            <m:fPr>
              <m:type m:val="bar"/>
            </m:fPr>
            <m:num>
              <m:r>
                <m:t>5</m:t>
              </m:r>
            </m:num>
            <m:den>
              <m:r>
                <m:t>7</m:t>
              </m:r>
            </m:den>
          </m:f>
          <m:r>
            <m:t>(g</m:t>
          </m:r>
          <m:r>
            <m:rPr>
              <m:sty m:val="p"/>
            </m:rPr>
            <m:t>sin</m:t>
          </m:r>
          <m:r>
            <m:t>θ+</m:t>
          </m:r>
          <m:sSub>
            <m:e>
              <m:r>
                <m:t>a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cos</m:t>
          </m:r>
          <m:r>
            <m:t>θ)</m:t>
          </m:r>
        </m:oMath>
      </w:r>
      <w:r>
        <w:rPr>
          <w:rFonts w:ascii="Times New Roman" w:hAnsi="Times New Roman" w:eastAsia="宋体"/>
          <w:sz w:val="21"/>
        </w:rPr>
        <w:tab/>
        <w:t>（2-5）</w:t>
      </w:r>
    </w:p>
    <w:p>
      <w:pPr>
        <w:keepNext w:val="0"/>
        <w:spacing w:lineRule="exact" w:line="440" w:before="0" w:after="0"/>
        <w:ind w:firstLine="420"/>
        <w:jc w:val="both"/>
      </w:pPr>
      <w:r>
        <w:rPr>
          <w:rFonts w:ascii="Times New Roman" w:hAnsi="Times New Roman" w:eastAsia="宋体"/>
          <w:sz w:val="24"/>
        </w:rPr>
        <w:t>位置外环按目标位置与视觉位置之差产生目标加速度，参数K_px=4.0、K_ix=0.35、K_dx=2.2，积分限幅0.35 m/s²、输出限幅1.5 m/s²，速度低通12 Hz、微分低通10 Hz。忽略小积分项时，自然频率2 rad/s、阻尼比0.55，理论2%调节时间约3.64 s、峰值超调约12.6%，与题目5 s往返要求具有理论一致性。</w:t>
      </w:r>
    </w:p>
    <w:p>
      <w:pPr>
        <w:keepNext w:val="0"/>
        <w:tabs>
          <w:tab w:pos="4535" w:val="center"/>
          <w:tab w:pos="8957" w:val="right"/>
        </w:tabs>
        <w:spacing w:lineRule="exact" w:line="480" w:before="0" w:after="0"/>
        <w:ind w:firstLine="0"/>
      </w:pPr>
      <w:r>
        <w:tab/>
      </w:r>
      <w:r>
        <m:oMath xmlns:mml="http://www.w3.org/1998/Math/MathML">
          <m:sSub>
            <m:e>
              <m:r>
                <m:t>a</m:t>
              </m:r>
            </m:e>
            <m:sub>
              <m:r>
                <m:t>d</m:t>
              </m:r>
            </m:sub>
          </m:sSub>
          <m:r>
            <m:t>=</m:t>
          </m:r>
          <m:sSub>
            <m:e>
              <m:r>
                <m:t>K</m:t>
              </m:r>
            </m:e>
            <m:sub>
              <m:r>
                <m:rPr>
                  <m:sty m:val="p"/>
                </m:rPr>
                <m:t>px</m:t>
              </m:r>
            </m:sub>
          </m:sSub>
          <m:sSub>
            <m:e>
              <m:r>
                <m:t>e</m:t>
              </m:r>
            </m:e>
            <m:sub>
              <m:r>
                <m:t>x</m:t>
              </m:r>
            </m:sub>
          </m:sSub>
          <m:r>
            <m:t>+</m:t>
          </m:r>
          <m:sSub>
            <m:e>
              <m:r>
                <m:t>K</m:t>
              </m:r>
            </m:e>
            <m:sub>
              <m:r>
                <m:rPr>
                  <m:sty m:val="p"/>
                </m:rPr>
                <m:t>ix</m:t>
              </m:r>
            </m:sub>
          </m:sSub>
          <m:r>
            <m:t>∫</m:t>
          </m:r>
          <m:sSub>
            <m:e>
              <m:r>
                <m:t>e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dt</m:t>
          </m:r>
          <m:r>
            <m:t>−</m:t>
          </m:r>
          <m:sSub>
            <m:e>
              <m:r>
                <m:t>K</m:t>
              </m:r>
            </m:e>
            <m:sub>
              <m:r>
                <m:rPr>
                  <m:sty m:val="p"/>
                </m:rPr>
                <m:t>dx</m:t>
              </m:r>
            </m:sub>
          </m:sSub>
          <m:sSub>
            <m:e>
              <m:limUpp>
                <m:e>
                  <m:r>
                    <m:t>x</m:t>
                  </m:r>
                </m:e>
                <m:lim>
                  <m:r>
                    <m:t>˙</m:t>
                  </m:r>
                </m:lim>
              </m:limUpp>
            </m:e>
            <m:sub>
              <m:r>
                <m:t>f</m:t>
              </m:r>
            </m:sub>
          </m:sSub>
        </m:oMath>
      </w:r>
      <w:r>
        <w:rPr>
          <w:rFonts w:ascii="Times New Roman" w:hAnsi="Times New Roman" w:eastAsia="宋体"/>
          <w:sz w:val="21"/>
        </w:rPr>
        <w:tab/>
        <w:t>（2-6）</w:t>
      </w:r>
    </w:p>
    <w:p>
      <w:pPr>
        <w:keepNext w:val="0"/>
        <w:spacing w:lineRule="exact" w:line="440" w:before="0" w:after="0"/>
        <w:ind w:firstLine="420"/>
        <w:jc w:val="both"/>
      </w:pPr>
      <w:r>
        <w:rPr>
          <w:rFonts w:ascii="Times New Roman" w:hAnsi="Times New Roman" w:eastAsia="宋体"/>
          <w:sz w:val="24"/>
        </w:rPr>
        <w:t>由动力学逆解得到摆杆目标角，并叠加BMI088纵向加速度前馈。目标角限幅±4.5°，静止平台最大钢球加速度约0.550 m/s²，可完整抵消的纵向加速度约±0.772 m/s²。BMI088采用8 Hz低通，时间常数约19.9 ms，上电1000点零偏标定约1 s。</w:t>
      </w:r>
    </w:p>
    <w:p>
      <w:pPr>
        <w:keepNext w:val="0"/>
        <w:tabs>
          <w:tab w:pos="4535" w:val="center"/>
          <w:tab w:pos="8957" w:val="right"/>
        </w:tabs>
        <w:spacing w:lineRule="exact" w:line="480" w:before="0" w:after="0"/>
        <w:ind w:firstLine="0"/>
      </w:pPr>
      <w:r>
        <w:tab/>
      </w:r>
      <w:r>
        <m:oMath xmlns:mml="http://www.w3.org/1998/Math/MathML">
          <m:sSub>
            <m:e>
              <m:r>
                <m:t>θ</m:t>
              </m:r>
            </m:e>
            <m:sub>
              <m:r>
                <m:t>d</m:t>
              </m:r>
            </m:sub>
          </m:sSub>
          <m:r>
            <m:t>=</m:t>
          </m:r>
          <m:r>
            <m:rPr>
              <m:sty m:val="p"/>
            </m:rPr>
            <m:t>arcsin</m:t>
          </m:r>
          <m:r>
            <m:t>(</m:t>
          </m:r>
          <m:f>
            <m:fPr>
              <m:type m:val="bar"/>
            </m:fPr>
            <m:num>
              <m:r>
                <m:t>−</m:t>
              </m:r>
              <m:sSub>
                <m:e>
                  <m:r>
                    <m:t>a</m:t>
                  </m:r>
                </m:e>
                <m:sub>
                  <m:r>
                    <m:t>d</m:t>
                  </m:r>
                </m:sub>
              </m:sSub>
            </m:num>
            <m:den>
              <m:f>
                <m:fPr>
                  <m:type m:val="bar"/>
                </m:fPr>
                <m:num>
                  <m:r>
                    <m:t>5</m:t>
                  </m:r>
                </m:num>
                <m:den>
                  <m:r>
                    <m:t>7</m:t>
                  </m:r>
                </m:den>
              </m:f>
              <m:rad>
                <m:radPr>
                  <m:degHide m:val="on"/>
                </m:radPr>
                <m:deg/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+</m:t>
                  </m:r>
                  <m:s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f</m:t>
                          </m:r>
                        </m:sub>
                      </m:sSub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t>)−</m:t>
          </m:r>
          <m:r>
            <m:rPr>
              <m:sty m:val="p"/>
            </m:rPr>
            <m:t>arctan</m:t>
          </m:r>
          <m:r>
            <m:t>(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f</m:t>
                  </m:r>
                </m:sub>
              </m:sSub>
            </m:num>
            <m:den>
              <m:r>
                <m:t>g</m:t>
              </m:r>
            </m:den>
          </m:f>
          <m:r>
            <m:t>)</m:t>
          </m:r>
        </m:oMath>
      </w:r>
      <w:r>
        <w:rPr>
          <w:rFonts w:ascii="Times New Roman" w:hAnsi="Times New Roman" w:eastAsia="宋体"/>
          <w:sz w:val="21"/>
        </w:rPr>
        <w:tab/>
        <w:t>（2-7）</w:t>
      </w:r>
    </w:p>
    <w:p>
      <w:pPr>
        <w:keepNext w:val="0"/>
        <w:spacing w:lineRule="exact" w:line="440" w:before="0" w:after="0"/>
        <w:ind w:firstLine="420"/>
        <w:jc w:val="both"/>
      </w:pPr>
      <w:r>
        <w:rPr>
          <w:rFonts w:ascii="Times New Roman" w:hAnsi="Times New Roman" w:eastAsia="宋体"/>
          <w:sz w:val="24"/>
        </w:rPr>
        <w:t>M2006转子编码器0～8191计数，经36:1减速后每计数对应输出轴0.0012207°。实测水平累计值4552，右端最低13760（相对+11.240234°），右端最高2145（相对−2.938232°）；采用分段线性插值描述非对称连杆，±4.5°软限位对应电机约+10.1162°至−2.6444°。位置PD参数7.0/0/0.12，速度限幅±45 r/min；速度PI参数1.2/8.0/0，积分限幅1200、电流指令限幅±2500、最小有效值160，积分时间常数0.15 s。</w:t>
      </w:r>
    </w:p>
    <w:p>
      <w:pPr>
        <w:pStyle w:val="2"/>
      </w:pPr>
      <w:r>
        <w:rPr>
          <w:rFonts w:ascii="Times New Roman" w:hAnsi="Times New Roman" w:eastAsia="宋体"/>
          <w:b/>
          <w:sz w:val="28"/>
        </w:rPr>
        <w:t>3、循迹、差速运动学与圈时计算</w:t>
      </w:r>
    </w:p>
    <w:p>
      <w:pPr>
        <w:keepNext w:val="0"/>
        <w:spacing w:lineRule="exact" w:line="440" w:before="0" w:after="0"/>
        <w:ind w:firstLine="420"/>
        <w:jc w:val="both"/>
      </w:pPr>
      <w:r>
        <w:rPr>
          <w:rFonts w:ascii="Times New Roman" w:hAnsi="Times New Roman" w:eastAsia="宋体"/>
          <w:sz w:val="24"/>
        </w:rPr>
        <w:t>七路状态b_i对应权值+50、+33、+16、0、−16、−33、−50。有效通道数为n时，按加权质心计算路径偏差；外环PID取K_p=0.9、K_i=0.05、K_d=0.2，并以0.04倍MPU6050 Z轴角速度形成偏航阻尼，修正量限幅±30计数。左右速度内环参数分别为180/0.35/26和180/0.28/18，PWM限幅±3199，频率约10 kHz。</w:t>
      </w:r>
    </w:p>
    <w:p>
      <w:pPr>
        <w:keepNext w:val="0"/>
        <w:tabs>
          <w:tab w:pos="4535" w:val="center"/>
          <w:tab w:pos="8957" w:val="right"/>
        </w:tabs>
        <w:spacing w:lineRule="exact" w:line="480" w:before="0" w:after="0"/>
        <w:ind w:firstLine="0"/>
      </w:pPr>
      <w:r>
        <w:tab/>
      </w:r>
      <w:r>
        <m:oMath xmlns:mml="http://www.w3.org/1998/Math/MathML">
          <m:r>
            <m:t>e=</m:t>
          </m:r>
          <m:f>
            <m:fPr>
              <m:type m:val="bar"/>
            </m:fPr>
            <m:num>
              <m:r>
                <m:t>∑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num>
            <m:den>
              <m:r>
                <m:t>n</m:t>
              </m:r>
            </m:den>
          </m:f>
          <m:r>
            <m:t>,</m:t>
          </m:r>
          <m:r>
            <m:t>v=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R</m:t>
                  </m:r>
                </m:sub>
              </m:sSub>
              <m:r>
                <m:t>+</m:t>
              </m:r>
              <m:sSub>
                <m:e>
                  <m:r>
                    <m:t>v</m:t>
                  </m:r>
                </m:e>
                <m:sub>
                  <m:r>
                    <m:t>L</m:t>
                  </m:r>
                </m:sub>
              </m:sSub>
            </m:num>
            <m:den>
              <m:r>
                <m:t>2</m:t>
              </m:r>
            </m:den>
          </m:f>
          <m:r>
            <m:t>,</m:t>
          </m:r>
          <m:r>
            <m:t>ω=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R</m:t>
                  </m:r>
                </m:sub>
              </m:sSub>
              <m:r>
                <m:t>−</m:t>
              </m:r>
              <m:sSub>
                <m:e>
                  <m:r>
                    <m:t>v</m:t>
                  </m:r>
                </m:e>
                <m:sub>
                  <m:r>
                    <m:t>L</m:t>
                  </m:r>
                </m:sub>
              </m:sSub>
            </m:num>
            <m:den>
              <m:r>
                <m:t>B</m:t>
              </m:r>
            </m:den>
          </m:f>
        </m:oMath>
      </w:r>
      <w:r>
        <w:rPr>
          <w:rFonts w:ascii="Times New Roman" w:hAnsi="Times New Roman" w:eastAsia="宋体"/>
          <w:sz w:val="21"/>
        </w:rPr>
        <w:tab/>
        <w:t>（2-8）</w:t>
      </w:r>
    </w:p>
    <w:p>
      <w:pPr>
        <w:keepNext w:val="0"/>
        <w:spacing w:lineRule="exact" w:line="440" w:before="0" w:after="0"/>
        <w:ind w:firstLine="420"/>
        <w:jc w:val="both"/>
      </w:pPr>
      <w:r>
        <w:rPr>
          <w:rFonts w:ascii="Times New Roman" w:hAnsi="Times New Roman" w:eastAsia="宋体"/>
          <w:sz w:val="24"/>
        </w:rPr>
        <w:t>轨道中心线长度为3+π≈6.142 m。五次整圈编码器中值为左49712、右39741计数，巡航目标31计数/10 ms对应名义0.431 m/s；采用1.30 s平滑加速、圈进度86%～97%减速及末段11计数/10 ms（约0.153 m/s）的速度规划，离散推算单圈约16.7 s，理论上低于20 s要求。A点离开确认5周期、最短运行100周期、回到启停线连续2周期确认，抑制起点误判。</w:t>
      </w:r>
    </w:p>
    <w:p>
      <w:pPr>
        <w:pStyle w:val="1"/>
      </w:pPr>
      <w:r>
        <w:rPr>
          <w:rFonts w:ascii="Times New Roman" w:hAnsi="Times New Roman" w:eastAsia="黑体"/>
          <w:b/>
          <w:sz w:val="32"/>
        </w:rPr>
        <w:t>三、电路与程序设计</w:t>
      </w:r>
    </w:p>
    <w:p>
      <w:pPr>
        <w:pStyle w:val="2"/>
      </w:pPr>
      <w:r>
        <w:rPr>
          <w:rFonts w:ascii="Times New Roman" w:hAnsi="Times New Roman" w:eastAsia="宋体"/>
          <w:b/>
          <w:sz w:val="28"/>
        </w:rPr>
        <w:t>1、系统总体框图与整体工作流程</w:t>
      </w:r>
    </w:p>
    <w:p>
      <w:pPr>
        <w:keepNext w:val="0"/>
        <w:spacing w:lineRule="exact" w:line="440" w:before="0" w:after="0"/>
        <w:ind w:firstLine="420"/>
        <w:jc w:val="both"/>
      </w:pPr>
      <w:r>
        <w:rPr>
          <w:rFonts w:ascii="Times New Roman" w:hAnsi="Times New Roman" w:eastAsia="宋体"/>
          <w:sz w:val="24"/>
        </w:rPr>
        <w:t>按键启动后，循迹控制器开始10 ms计时并驱动底盘；视觉端持续采集摆杆与钢球图像，形成带状态和时间戳的位置帧；平衡控制器仅在CRC、序号、时效和状态有效时更新钢球外环，同时读取BMI088和M2006反馈，经角度反算及双环控制向C610下发电流。回到A点后底盘短刹并停止计时；任何关键故障均撤销相应驱动输出。系统总体框图如图1所示。</w:t>
      </w:r>
    </w:p>
    <w:tbl>
      <w:tblPr>
        <w:tblW w:type="dxa" w:w="8505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35"/>
        <w:gridCol w:w="2835"/>
        <w:gridCol w:w="2835"/>
      </w:tblGrid>
      <w:tr>
        <w:tc>
          <w:tcPr>
            <w:tcW w:type="dxa" w:w="283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  <w:shd w:fill="F2F2F2"/>
          </w:tcPr>
          <w:p>
            <w:pPr>
              <w:pStyle w:val="CompactTableText"/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USB摄像头</w:t>
              <w:br/>
              <w:t>动态端点与钢球图像</w:t>
            </w:r>
          </w:p>
        </w:tc>
        <w:tc>
          <w:tcPr>
            <w:tcW w:type="dxa" w:w="283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  <w:shd w:fill="F2F2F2"/>
          </w:tcPr>
          <w:p>
            <w:pPr>
              <w:pStyle w:val="CompactTableText"/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树莓派5</w:t>
              <w:br/>
              <w:t>视觉测量/录像/图传</w:t>
            </w:r>
          </w:p>
        </w:tc>
        <w:tc>
          <w:tcPr>
            <w:tcW w:type="dxa" w:w="283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  <w:shd w:fill="F2F2F2"/>
          </w:tcPr>
          <w:p>
            <w:pPr>
              <w:pStyle w:val="CompactTableText"/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外部接收显示存储装置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pStyle w:val="CompactTableText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↓</w:t>
            </w:r>
          </w:p>
        </w:tc>
        <w:tc>
          <w:tcPr>
            <w:tcW w:type="dxa" w:w="283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pStyle w:val="CompactTableText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USB CDC 50 Hz</w:t>
              <w:br/>
              <w:t>24字节+CRC</w:t>
            </w:r>
          </w:p>
        </w:tc>
        <w:tc>
          <w:tcPr>
            <w:tcW w:type="dxa" w:w="283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pStyle w:val="CompactTableText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↑ UDP/H.264预留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  <w:shd w:fill="F2F2F2"/>
          </w:tcPr>
          <w:p>
            <w:pPr>
              <w:pStyle w:val="CompactTableText"/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七路红外+双编码器</w:t>
            </w:r>
          </w:p>
        </w:tc>
        <w:tc>
          <w:tcPr>
            <w:tcW w:type="dxa" w:w="283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  <w:shd w:fill="F2F2F2"/>
          </w:tcPr>
          <w:p>
            <w:pPr>
              <w:pStyle w:val="CompactTableText"/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STM32F407</w:t>
              <w:br/>
              <w:t>滚球平衡控制</w:t>
            </w:r>
          </w:p>
        </w:tc>
        <w:tc>
          <w:tcPr>
            <w:tcW w:type="dxa" w:w="283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  <w:shd w:fill="F2F2F2"/>
          </w:tcPr>
          <w:p>
            <w:pPr>
              <w:pStyle w:val="CompactTableText"/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M2006+C610</w:t>
              <w:br/>
              <w:t>摆杆执行机构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pStyle w:val="CompactTableText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↓</w:t>
            </w:r>
          </w:p>
        </w:tc>
        <w:tc>
          <w:tcPr>
            <w:tcW w:type="dxa" w:w="283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pStyle w:val="CompactTableText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BMI088加速度前馈</w:t>
              <w:br/>
              <w:t>CAN 1 Mbit/s</w:t>
            </w:r>
          </w:p>
        </w:tc>
        <w:tc>
          <w:tcPr>
            <w:tcW w:type="dxa" w:w="283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pStyle w:val="CompactTableText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↑ 编码器/速度/温度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  <w:shd w:fill="F2F2F2"/>
          </w:tcPr>
          <w:p>
            <w:pPr>
              <w:pStyle w:val="CompactTableText"/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MSPM0G3507</w:t>
              <w:br/>
              <w:t>循迹、计时、显示</w:t>
            </w:r>
          </w:p>
        </w:tc>
        <w:tc>
          <w:tcPr>
            <w:tcW w:type="dxa" w:w="283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  <w:shd w:fill="F2F2F2"/>
          </w:tcPr>
          <w:p>
            <w:pPr>
              <w:pStyle w:val="CompactTableText"/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四轮两驱差速底盘</w:t>
            </w:r>
          </w:p>
        </w:tc>
        <w:tc>
          <w:tcPr>
            <w:tcW w:type="dxa" w:w="283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  <w:shd w:fill="F2F2F2"/>
          </w:tcPr>
          <w:p>
            <w:pPr>
              <w:pStyle w:val="CompactTableText"/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3S电池与分路电源</w:t>
            </w:r>
          </w:p>
        </w:tc>
      </w:tr>
    </w:tbl>
    <w:p>
      <w:pPr>
        <w:keepNext w:val="0"/>
        <w:spacing w:lineRule="exact" w:line="160" w:before="0" w:after="0"/>
        <w:ind w:firstLine="0"/>
      </w:pPr>
    </w:p>
    <w:p>
      <w:pPr>
        <w:keepNext/>
        <w:spacing w:lineRule="exact" w:line="360" w:before="40" w:after="40"/>
        <w:ind w:firstLine="0"/>
        <w:jc w:val="center"/>
      </w:pPr>
      <w:r>
        <w:rPr>
          <w:rFonts w:ascii="Times New Roman" w:hAnsi="Times New Roman" w:eastAsia="宋体"/>
          <w:sz w:val="21"/>
        </w:rPr>
        <w:t>图1  系统总体框图</w:t>
      </w:r>
    </w:p>
    <w:p>
      <w:pPr>
        <w:pStyle w:val="2"/>
      </w:pPr>
      <w:r>
        <w:rPr>
          <w:rFonts w:ascii="Times New Roman" w:hAnsi="Times New Roman" w:eastAsia="宋体"/>
          <w:b/>
          <w:sz w:val="28"/>
        </w:rPr>
        <w:t>2、子系统硬件电路设计</w:t>
      </w:r>
    </w:p>
    <w:p>
      <w:pPr>
        <w:pStyle w:val="3"/>
      </w:pPr>
      <w:r>
        <w:rPr>
          <w:rFonts w:ascii="Times New Roman" w:hAnsi="Times New Roman" w:eastAsia="宋体"/>
          <w:b/>
          <w:sz w:val="24"/>
        </w:rPr>
        <w:t>（1）视觉识别与图传电路</w:t>
      </w:r>
    </w:p>
    <w:p>
      <w:pPr>
        <w:keepNext w:val="0"/>
        <w:spacing w:lineRule="exact" w:line="440" w:before="0" w:after="0"/>
        <w:ind w:firstLine="420"/>
        <w:jc w:val="both"/>
      </w:pPr>
      <w:r>
        <w:rPr>
          <w:rFonts w:ascii="Times New Roman" w:hAnsi="Times New Roman" w:eastAsia="宋体"/>
          <w:sz w:val="24"/>
        </w:rPr>
        <w:t>USB摄像头接树莓派5的USB主机口，固定曝光值157、亮度4并关闭动态帧率，以保持参考差分条件稳定。树莓派通过USB Device CDC与STM32F407连接，辅助显示、录像和图传采用有界队列，避免网络或存储阻塞识别线程。摄像头和图传发送端牢固安装于车体，画面覆盖完整25 cm摆杆；接收计算机置于线路外完成实时显示、存储和回放。</w:t>
      </w:r>
    </w:p>
    <w:p>
      <w:pPr>
        <w:pStyle w:val="3"/>
      </w:pPr>
      <w:r>
        <w:rPr>
          <w:rFonts w:ascii="Times New Roman" w:hAnsi="Times New Roman" w:eastAsia="宋体"/>
          <w:b/>
          <w:sz w:val="24"/>
        </w:rPr>
        <w:t>（2）滚球平衡与电机驱动电路</w:t>
      </w:r>
    </w:p>
    <w:p>
      <w:pPr>
        <w:keepNext w:val="0"/>
        <w:spacing w:lineRule="exact" w:line="440" w:before="0" w:after="0"/>
        <w:ind w:firstLine="420"/>
        <w:jc w:val="both"/>
      </w:pPr>
      <w:r>
        <w:rPr>
          <w:rFonts w:ascii="Times New Roman" w:hAnsi="Times New Roman" w:eastAsia="宋体"/>
          <w:sz w:val="24"/>
        </w:rPr>
        <w:t>STM32F407以SPI1约2.625 MHz读取BMI088，以CAN1 1 Mbit/s连接C610，电机ID为1。控制命令标准帧ID为0x200，反馈ID为0x201；反馈包含编码器、转速、电流和温度。ADC3以100 Hz采集电池电压。CAN端配置匹配的收发器、终端和可靠共地，电机动力线与USB、SPI及传感器线分离。摆杆左端铰接高度不低于5 cm，右端由连杆机构驱动，并设置机械实体挡块。</w:t>
      </w:r>
    </w:p>
    <w:p>
      <w:pPr>
        <w:pStyle w:val="3"/>
      </w:pPr>
      <w:r>
        <w:rPr>
          <w:rFonts w:ascii="Times New Roman" w:hAnsi="Times New Roman" w:eastAsia="宋体"/>
          <w:b/>
          <w:sz w:val="24"/>
        </w:rPr>
        <w:t>（3）循迹与底盘电路</w:t>
      </w:r>
    </w:p>
    <w:p>
      <w:pPr>
        <w:keepNext w:val="0"/>
        <w:spacing w:lineRule="exact" w:line="440" w:before="0" w:after="0"/>
        <w:ind w:firstLine="420"/>
        <w:jc w:val="both"/>
      </w:pPr>
      <w:r>
        <w:rPr>
          <w:rFonts w:ascii="Times New Roman" w:hAnsi="Times New Roman" w:eastAsia="宋体"/>
          <w:sz w:val="24"/>
        </w:rPr>
        <w:t>MSPM0G3507系统时钟32 MHz，S1～S7接PB12～PB18并内部上拉；左编码器由TIMG8硬件QEI采集，右编码器由PB10/PB11双边沿中断解码。TIMA0两通道输出约10 kHz PWM至TB6612FNG，STBY独立控制；MPU6050经I2C1 100 kHz连接，SSD1306 128×64 OLED采用GPIO开漏模拟I2C，显示时间、圈次和里程。所有MCU输入均限制在3.3 V以内。</w:t>
      </w:r>
    </w:p>
    <w:p>
      <w:pPr>
        <w:pStyle w:val="3"/>
      </w:pPr>
      <w:r>
        <w:rPr>
          <w:rFonts w:ascii="Times New Roman" w:hAnsi="Times New Roman" w:eastAsia="宋体"/>
          <w:b/>
          <w:sz w:val="24"/>
        </w:rPr>
        <w:t>（4）电源与抗干扰电路</w:t>
      </w:r>
    </w:p>
    <w:p>
      <w:pPr>
        <w:keepNext w:val="0"/>
        <w:spacing w:lineRule="exact" w:line="440" w:before="0" w:after="0"/>
        <w:ind w:firstLine="420"/>
        <w:jc w:val="both"/>
      </w:pPr>
      <w:r>
        <w:rPr>
          <w:rFonts w:ascii="Times New Roman" w:hAnsi="Times New Roman" w:eastAsia="宋体"/>
          <w:sz w:val="24"/>
        </w:rPr>
        <w:t>3S电池经总开关、保险与反接保护后分为动力和逻辑支路；M2006/C610与底盘电机端就近配置储能及高频去耦，树莓派和摄像头采用独立5 V大电流降压，MCU与传感器采用低纹波5 V/3.3 V支路。各支路单点汇接，共模地线短而粗；USB、编码器和I2C线远离H桥开关节点。</w:t>
      </w:r>
    </w:p>
    <w:p>
      <w:pPr>
        <w:pStyle w:val="2"/>
      </w:pPr>
      <w:r>
        <w:rPr>
          <w:rFonts w:ascii="Times New Roman" w:hAnsi="Times New Roman" w:eastAsia="宋体"/>
          <w:b/>
          <w:sz w:val="28"/>
        </w:rPr>
        <w:t>3、程序设计、通信协议与异常保护</w:t>
      </w:r>
    </w:p>
    <w:p>
      <w:pPr>
        <w:keepNext w:val="0"/>
        <w:spacing w:lineRule="exact" w:line="440" w:before="0" w:after="0"/>
        <w:ind w:firstLine="420"/>
        <w:jc w:val="both"/>
      </w:pPr>
      <w:r>
        <w:rPr>
          <w:rFonts w:ascii="Times New Roman" w:hAnsi="Times New Roman" w:eastAsia="宋体"/>
          <w:sz w:val="24"/>
        </w:rPr>
        <w:t>视觉程序依次执行端点检测、几何校验、条带重建、候选融合、位置标定、Alpha-Beta跟踪及50 Hz发送；滚球程序执行视觉帧解析、模式状态机、位置PID、前馈反算、三点标定、位置环、速度环与安全判定；底盘程序每10 ms完成编码器增量、七路采样、速度规划、循迹PID、双轮速度PID及启停线状态机。非关键OLED、GUI、Web和录像均采用降级或限帧策略。</w:t>
      </w:r>
    </w:p>
    <w:p>
      <w:pPr>
        <w:keepNext/>
        <w:spacing w:lineRule="exact" w:line="360" w:before="40" w:after="40"/>
        <w:ind w:firstLine="0"/>
        <w:jc w:val="center"/>
      </w:pPr>
      <w:r>
        <w:rPr>
          <w:rFonts w:ascii="Times New Roman" w:hAnsi="Times New Roman" w:eastAsia="宋体"/>
          <w:sz w:val="21"/>
        </w:rPr>
        <w:t>表2  关键接口与协议</w:t>
      </w:r>
    </w:p>
    <w:tbl>
      <w:tblPr>
        <w:tblW w:type="dxa" w:w="9072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304"/>
        <w:gridCol w:w="1984"/>
        <w:gridCol w:w="3231"/>
        <w:gridCol w:w="2551"/>
      </w:tblGrid>
      <w:tr>
        <w:trPr>
          <w:tblHeader w:val="true"/>
        </w:trPr>
        <w:tc>
          <w:tcPr>
            <w:tcW w:type="dxa" w:w="1304"/>
            <w:vAlign w:val="center"/>
            <w:shd w:fill="E7E6E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接口</w:t>
            </w:r>
          </w:p>
        </w:tc>
        <w:tc>
          <w:tcPr>
            <w:tcW w:type="dxa" w:w="1984"/>
            <w:vAlign w:val="center"/>
            <w:shd w:fill="E7E6E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配置</w:t>
            </w:r>
          </w:p>
        </w:tc>
        <w:tc>
          <w:tcPr>
            <w:tcW w:type="dxa" w:w="3231"/>
            <w:vAlign w:val="center"/>
            <w:shd w:fill="E7E6E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数据内容</w:t>
            </w:r>
          </w:p>
        </w:tc>
        <w:tc>
          <w:tcPr>
            <w:tcW w:type="dxa" w:w="2551"/>
            <w:vAlign w:val="center"/>
            <w:shd w:fill="E7E6E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有效性与失效处理</w:t>
            </w:r>
          </w:p>
        </w:tc>
      </w:tr>
      <w:tr>
        <w:tc>
          <w:tcPr>
            <w:tcW w:type="dxa" w:w="130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视觉→平衡</w:t>
            </w:r>
          </w:p>
        </w:tc>
        <w:tc>
          <w:tcPr>
            <w:tcW w:type="dxa" w:w="19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USB CDC，115200-8N1显示参数，50 Hz</w:t>
            </w:r>
          </w:p>
        </w:tc>
        <w:tc>
          <w:tcPr>
            <w:tcW w:type="dxa" w:w="323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24字节小端；头A5 5A、版本1、序号、时间戳、位置0.1 mm/LSB、速度、置信度、状态、CRC-16</w:t>
            </w:r>
          </w:p>
        </w:tc>
        <w:tc>
          <w:tcPr>
            <w:tcW w:type="dxa" w:w="25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预测最多100 ms且权重50%；150 ms超时；无效位置−32768</w:t>
            </w:r>
          </w:p>
        </w:tc>
      </w:tr>
      <w:tr>
        <w:tc>
          <w:tcPr>
            <w:tcW w:type="dxa" w:w="130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平衡→C610</w:t>
            </w:r>
          </w:p>
        </w:tc>
        <w:tc>
          <w:tcPr>
            <w:tcW w:type="dxa" w:w="19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CAN1，1 Mbit/s，ID 0x200/0x201</w:t>
            </w:r>
          </w:p>
        </w:tc>
        <w:tc>
          <w:tcPr>
            <w:tcW w:type="dxa" w:w="323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电流命令；编码器、转速、反馈电流、温度</w:t>
            </w:r>
          </w:p>
        </w:tc>
        <w:tc>
          <w:tcPr>
            <w:tcW w:type="dxa" w:w="25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反馈100 ms超时停机；80 ℃过温锁存</w:t>
            </w:r>
          </w:p>
        </w:tc>
      </w:tr>
      <w:tr>
        <w:tc>
          <w:tcPr>
            <w:tcW w:type="dxa" w:w="130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循迹采集</w:t>
            </w:r>
          </w:p>
        </w:tc>
        <w:tc>
          <w:tcPr>
            <w:tcW w:type="dxa" w:w="19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GPIO/QEI，100 Hz</w:t>
            </w:r>
          </w:p>
        </w:tc>
        <w:tc>
          <w:tcPr>
            <w:tcW w:type="dxa" w:w="323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7位黑线状态、双轮增量、启停按键</w:t>
            </w:r>
          </w:p>
        </w:tc>
        <w:tc>
          <w:tcPr>
            <w:tcW w:type="dxa" w:w="25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脱线1周期撤销PWM；终点连续2周期确认</w:t>
            </w:r>
          </w:p>
        </w:tc>
      </w:tr>
      <w:tr>
        <w:tc>
          <w:tcPr>
            <w:tcW w:type="dxa" w:w="130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图传</w:t>
            </w:r>
          </w:p>
        </w:tc>
        <w:tc>
          <w:tcPr>
            <w:tcW w:type="dxa" w:w="19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H.264/UDP，25帧/s，4 Mbit/s</w:t>
            </w:r>
          </w:p>
        </w:tc>
        <w:tc>
          <w:tcPr>
            <w:tcW w:type="dxa" w:w="323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覆盖摆杆的实时视频，端口5600</w:t>
            </w:r>
          </w:p>
        </w:tc>
        <w:tc>
          <w:tcPr>
            <w:tcW w:type="dxa" w:w="25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队列2优先低延迟；断网不阻塞视觉主链路</w:t>
            </w:r>
          </w:p>
        </w:tc>
      </w:tr>
    </w:tbl>
    <w:p>
      <w:pPr>
        <w:keepNext w:val="0"/>
        <w:spacing w:lineRule="exact" w:line="160" w:before="0" w:after="0"/>
        <w:ind w:firstLine="0"/>
      </w:pPr>
    </w:p>
    <w:p>
      <w:pPr>
        <w:keepNext/>
        <w:spacing w:lineRule="exact" w:line="360" w:before="40" w:after="40"/>
        <w:ind w:firstLine="0"/>
        <w:jc w:val="center"/>
      </w:pPr>
      <w:r>
        <w:rPr>
          <w:rFonts w:ascii="Times New Roman" w:hAnsi="Times New Roman" w:eastAsia="宋体"/>
          <w:sz w:val="21"/>
        </w:rPr>
        <w:t>表3  关键参数配置</w:t>
      </w:r>
    </w:p>
    <w:tbl>
      <w:tblPr>
        <w:tblW w:type="dxa" w:w="9072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134"/>
        <w:gridCol w:w="2154"/>
        <w:gridCol w:w="3572"/>
        <w:gridCol w:w="2211"/>
      </w:tblGrid>
      <w:tr>
        <w:trPr>
          <w:tblHeader w:val="true"/>
        </w:trPr>
        <w:tc>
          <w:tcPr>
            <w:tcW w:type="dxa" w:w="1134"/>
            <w:vAlign w:val="center"/>
            <w:shd w:fill="E7E6E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模块</w:t>
            </w:r>
          </w:p>
        </w:tc>
        <w:tc>
          <w:tcPr>
            <w:tcW w:type="dxa" w:w="2154"/>
            <w:vAlign w:val="center"/>
            <w:shd w:fill="E7E6E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采样/范围</w:t>
            </w:r>
          </w:p>
        </w:tc>
        <w:tc>
          <w:tcPr>
            <w:tcW w:type="dxa" w:w="3572"/>
            <w:vAlign w:val="center"/>
            <w:shd w:fill="E7E6E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控制或检测参数</w:t>
            </w:r>
          </w:p>
        </w:tc>
        <w:tc>
          <w:tcPr>
            <w:tcW w:type="dxa" w:w="2211"/>
            <w:vAlign w:val="center"/>
            <w:shd w:fill="E7E6E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保护与资源</w:t>
            </w:r>
          </w:p>
        </w:tc>
      </w:tr>
      <w:tr>
        <w:tc>
          <w:tcPr>
            <w:tcW w:type="dxa" w:w="113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视觉</w:t>
            </w:r>
          </w:p>
        </w:tc>
        <w:tc>
          <w:tcPr>
            <w:tcW w:type="dxa" w:w="215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640×480@60；条带800×64；有效行程0～240 mm</w:t>
            </w:r>
          </w:p>
        </w:tc>
        <w:tc>
          <w:tcPr>
            <w:tcW w:type="dxa" w:w="35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差分权重1/0.65；峰阈值18；峰宽8～80；α/β=0.75/0.12；串口50 Hz</w:t>
            </w:r>
          </w:p>
        </w:tc>
        <w:tc>
          <w:tcPr>
            <w:tcW w:type="dxa" w:w="221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左右端保持2/3帧；球漏检3帧；写超时0.02 s；重连1 s；录像/图传队列8/2</w:t>
            </w:r>
          </w:p>
        </w:tc>
      </w:tr>
      <w:tr>
        <w:tc>
          <w:tcPr>
            <w:tcW w:type="dxa" w:w="113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平衡</w:t>
            </w:r>
          </w:p>
        </w:tc>
        <w:tc>
          <w:tcPr>
            <w:tcW w:type="dxa" w:w="215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控制1 kHz；角度±4.5°；速度±45 r/min</w:t>
            </w:r>
          </w:p>
        </w:tc>
        <w:tc>
          <w:tcPr>
            <w:tcW w:type="dxa" w:w="35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球PID 4.0/0.35/2.2；位置PD 7/0/0.12；速度PI 1.2/8；电流±2500</w:t>
            </w:r>
          </w:p>
        </w:tc>
        <w:tc>
          <w:tcPr>
            <w:tcW w:type="dxa" w:w="221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视觉150 ms；CAN100 ms；IMU30 ms；9.5 V/300 ms；80 ℃；Flash 40.8 kB、RAM 10.2 kB</w:t>
            </w:r>
          </w:p>
        </w:tc>
      </w:tr>
      <w:tr>
        <w:tc>
          <w:tcPr>
            <w:tcW w:type="dxa" w:w="113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底盘</w:t>
            </w:r>
          </w:p>
        </w:tc>
        <w:tc>
          <w:tcPr>
            <w:tcW w:type="dxa" w:w="215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控制100 Hz；PWM约10 kHz；计时0.01 s</w:t>
            </w:r>
          </w:p>
        </w:tc>
        <w:tc>
          <w:tcPr>
            <w:tcW w:type="dxa" w:w="35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循迹0.9/0.05/0.2；左右速度180/0.35/26、180/0.28/18；巡航31计数</w:t>
            </w:r>
          </w:p>
        </w:tc>
        <w:tc>
          <w:tcPr>
            <w:tcW w:type="dxa" w:w="221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脱线停机；STBY关断；I2C/OLED自动恢复；Flash 22344 B、SRAM 4507 B</w:t>
            </w:r>
          </w:p>
        </w:tc>
      </w:tr>
    </w:tbl>
    <w:p>
      <w:pPr>
        <w:keepNext w:val="0"/>
        <w:spacing w:lineRule="exact" w:line="160" w:before="0" w:after="0"/>
        <w:ind w:firstLine="0"/>
      </w:pPr>
    </w:p>
    <w:p>
      <w:pPr>
        <w:keepNext w:val="0"/>
        <w:spacing w:lineRule="exact" w:line="440" w:before="0" w:after="0"/>
        <w:ind w:firstLine="420"/>
        <w:jc w:val="both"/>
      </w:pPr>
      <w:r>
        <w:rPr>
          <w:rFonts w:ascii="Times New Roman" w:hAnsi="Times New Roman" w:eastAsia="宋体"/>
          <w:sz w:val="24"/>
        </w:rPr>
        <w:t>异常保护包括：视觉CRC、长度、状态、范围、序号和时效校验；摆杆±4.5°软限位及电机−2.938232°/+11.240234°实测端点锁存；零点再次捕获窗口0.588°；电流、速度、积分和加速度多级限幅；模式切换清零控制器；底盘脱线、编码器停滞和双轮失配停机。BMI088失效时前馈置零但保留视觉闭环，OLED或网络失效不影响主控制。现阶段尚未实现独立堵转持续时间判据，最终实物应增加机械保险或熔断保护。</w:t>
      </w:r>
    </w:p>
    <w:tbl>
      <w:tblPr>
        <w:tblW w:type="dxa" w:w="8788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8788"/>
      </w:tblGrid>
      <w:tr>
        <w:tc>
          <w:tcPr>
            <w:tcW w:type="dxa" w:w="8787"/>
            <w:shd w:fill="F8F8F8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keepNext w:val="0"/>
              <w:spacing w:lineRule="exact" w:line="36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程序流程图占位：图2 主程序流程图；图3 视觉识别流程图；图4 滚球平衡控制流程图；图5 循迹与停车流程图。正式提交时可在保持图号与版式不变的条件下替换为最终流程图。</w:t>
            </w:r>
          </w:p>
        </w:tc>
      </w:tr>
    </w:tbl>
    <w:p>
      <w:pPr>
        <w:keepNext w:val="0"/>
        <w:spacing w:lineRule="exact" w:line="160" w:before="0" w:after="0"/>
        <w:ind w:firstLine="0"/>
      </w:pPr>
    </w:p>
    <w:p>
      <w:pPr>
        <w:pStyle w:val="1"/>
      </w:pPr>
      <w:r>
        <w:rPr>
          <w:rFonts w:ascii="Times New Roman" w:hAnsi="Times New Roman" w:eastAsia="黑体"/>
          <w:b/>
          <w:sz w:val="32"/>
        </w:rPr>
        <w:t>四、测试方案与测试结果</w:t>
      </w:r>
    </w:p>
    <w:p>
      <w:pPr>
        <w:pStyle w:val="2"/>
      </w:pPr>
      <w:r>
        <w:rPr>
          <w:rFonts w:ascii="Times New Roman" w:hAnsi="Times New Roman" w:eastAsia="宋体"/>
          <w:b/>
          <w:sz w:val="28"/>
        </w:rPr>
        <w:t>1、测试方案</w:t>
      </w:r>
    </w:p>
    <w:p>
      <w:pPr>
        <w:keepNext w:val="0"/>
        <w:spacing w:lineRule="exact" w:line="440" w:before="0" w:after="0"/>
        <w:ind w:firstLine="420"/>
        <w:jc w:val="both"/>
      </w:pPr>
      <w:r>
        <w:rPr>
          <w:rFonts w:ascii="Times New Roman" w:hAnsi="Times New Roman" w:eastAsia="宋体"/>
          <w:sz w:val="24"/>
        </w:rPr>
        <w:t>硬件测试依次检查分路电源纹波、相机60帧/s采集、七路红外极性与阈值、编码器方向、TB6612双轮PWM、M2006正负小角度响应、机械挡块、CAN反馈、欠压及过温停机；软件测试覆盖视觉几何与候选、CRC和粘包恢复、跟踪状态、PID限幅与抗饱和、三点标定、模式切换、启停线状态机和外设降级。系统联调在标准1.8±0.2 cm黑线场地进行，分别完成静态±5 cm往返、AB段、中心整圈、任意位置整圈和图传显示存储测试。</w:t>
      </w:r>
    </w:p>
    <w:p>
      <w:pPr>
        <w:keepNext w:val="0"/>
        <w:spacing w:lineRule="exact" w:line="440" w:before="0" w:after="0"/>
        <w:ind w:firstLine="420"/>
        <w:jc w:val="both"/>
      </w:pPr>
      <w:r>
        <w:rPr>
          <w:rFonts w:ascii="Times New Roman" w:hAnsi="Times New Roman" w:eastAsia="宋体"/>
          <w:sz w:val="24"/>
        </w:rPr>
        <w:t>静态滚球至少重复5次，以钢球进入目标±1 cm并保持为调节完成，记录总时间、最大误差和平均误差；循迹及停车至少重复10次，记录单圈时间、AB时间、停车偏差、脱线次数和成功率；整车测试同步保存视频与Ozone/串口遥测，统计视觉数据年龄、钢球最大误差、摆杆限幅次数、电流峰值及安全停机次数。主要仪器包括示波器、数字万用表、倾角仪、标尺、外部计时录像与显示存储计算机。</w:t>
      </w:r>
    </w:p>
    <w:p>
      <w:pPr>
        <w:pStyle w:val="2"/>
      </w:pPr>
      <w:r>
        <w:rPr>
          <w:rFonts w:ascii="Times New Roman" w:hAnsi="Times New Roman" w:eastAsia="宋体"/>
          <w:b/>
          <w:sz w:val="28"/>
        </w:rPr>
        <w:t>2、测试结果及分析</w:t>
      </w:r>
    </w:p>
    <w:p>
      <w:pPr>
        <w:keepNext/>
        <w:spacing w:lineRule="exact" w:line="360" w:before="40" w:after="40"/>
        <w:ind w:firstLine="0"/>
        <w:jc w:val="center"/>
      </w:pPr>
      <w:r>
        <w:rPr>
          <w:rFonts w:ascii="Times New Roman" w:hAnsi="Times New Roman" w:eastAsia="宋体"/>
          <w:sz w:val="21"/>
        </w:rPr>
        <w:t>表4  已有测试结果与题目指标对照</w:t>
      </w:r>
    </w:p>
    <w:tbl>
      <w:tblPr>
        <w:tblW w:type="dxa" w:w="9072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701"/>
        <w:gridCol w:w="1984"/>
        <w:gridCol w:w="3175"/>
        <w:gridCol w:w="2211"/>
      </w:tblGrid>
      <w:tr>
        <w:trPr>
          <w:tblHeader w:val="true"/>
        </w:trPr>
        <w:tc>
          <w:tcPr>
            <w:tcW w:type="dxa" w:w="1701"/>
            <w:vAlign w:val="center"/>
            <w:shd w:fill="E7E6E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测试项目</w:t>
            </w:r>
          </w:p>
        </w:tc>
        <w:tc>
          <w:tcPr>
            <w:tcW w:type="dxa" w:w="1984"/>
            <w:vAlign w:val="center"/>
            <w:shd w:fill="E7E6E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题目/设计指标</w:t>
            </w:r>
          </w:p>
        </w:tc>
        <w:tc>
          <w:tcPr>
            <w:tcW w:type="dxa" w:w="3175"/>
            <w:vAlign w:val="center"/>
            <w:shd w:fill="E7E6E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现有结果</w:t>
            </w:r>
          </w:p>
        </w:tc>
        <w:tc>
          <w:tcPr>
            <w:tcW w:type="dxa" w:w="2211"/>
            <w:vAlign w:val="center"/>
            <w:shd w:fill="E7E6E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结论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视觉软件</w:t>
            </w:r>
          </w:p>
        </w:tc>
        <w:tc>
          <w:tcPr>
            <w:tcW w:type="dxa" w:w="19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功能与异常处理正确</w:t>
            </w:r>
          </w:p>
        </w:tc>
        <w:tc>
          <w:tcPr>
            <w:tcW w:type="dxa" w:w="317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211项全部通过，用时2.59 s</w:t>
            </w:r>
          </w:p>
        </w:tc>
        <w:tc>
          <w:tcPr>
            <w:tcW w:type="dxa" w:w="221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已验证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相机采集</w:t>
            </w:r>
          </w:p>
        </w:tc>
        <w:tc>
          <w:tcPr>
            <w:tcW w:type="dxa" w:w="19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640×480、60帧/s稳定</w:t>
            </w:r>
          </w:p>
        </w:tc>
        <w:tc>
          <w:tcPr>
            <w:tcW w:type="dxa" w:w="317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1807帧/30.10 s；60.02帧/s；失败0</w:t>
            </w:r>
          </w:p>
        </w:tc>
        <w:tc>
          <w:tcPr>
            <w:tcW w:type="dxa" w:w="221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满足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完整视觉链路</w:t>
            </w:r>
          </w:p>
        </w:tc>
        <w:tc>
          <w:tcPr>
            <w:tcW w:type="dxa" w:w="19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单帧低于16.67 ms</w:t>
            </w:r>
          </w:p>
        </w:tc>
        <w:tc>
          <w:tcPr>
            <w:tcW w:type="dxa" w:w="317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55～58帧/s；P95 7.1～7.5 ms；P99 7.5～8.5 ms</w:t>
            </w:r>
          </w:p>
        </w:tc>
        <w:tc>
          <w:tcPr>
            <w:tcW w:type="dxa" w:w="221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满足实时性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离线识别</w:t>
            </w:r>
          </w:p>
        </w:tc>
        <w:tc>
          <w:tcPr>
            <w:tcW w:type="dxa" w:w="19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空槽低误检、带球连续</w:t>
            </w:r>
          </w:p>
        </w:tc>
        <w:tc>
          <w:tcPr>
            <w:tcW w:type="dxa" w:w="317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参考匹配空槽527帧零候选；带球975帧候选覆盖100%；端点100%</w:t>
            </w:r>
          </w:p>
        </w:tc>
        <w:tc>
          <w:tcPr>
            <w:tcW w:type="dxa" w:w="221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样本范围满足；非严格精度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广泛动态素材</w:t>
            </w:r>
          </w:p>
        </w:tc>
        <w:tc>
          <w:tcPr>
            <w:tcW w:type="dxa" w:w="19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适应姿态变化</w:t>
            </w:r>
          </w:p>
        </w:tc>
        <w:tc>
          <w:tcPr>
            <w:tcW w:type="dxa" w:w="317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12组端点100%；全范围压力素材候选覆盖95.33%</w:t>
            </w:r>
          </w:p>
        </w:tc>
        <w:tc>
          <w:tcPr>
            <w:tcW w:type="dxa" w:w="221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方案有效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平衡固件</w:t>
            </w:r>
          </w:p>
        </w:tc>
        <w:tc>
          <w:tcPr>
            <w:tcW w:type="dxa" w:w="19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1 kHz、50 Hz输入、1 Mbit/s CAN</w:t>
            </w:r>
          </w:p>
        </w:tc>
        <w:tc>
          <w:tcPr>
            <w:tcW w:type="dxa" w:w="317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全量交叉编译；Flash约40.8 kB、RAM约10.2 kB</w:t>
            </w:r>
          </w:p>
        </w:tc>
        <w:tc>
          <w:tcPr>
            <w:tcW w:type="dxa" w:w="221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软件与资源满足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底盘固件</w:t>
            </w:r>
          </w:p>
        </w:tc>
        <w:tc>
          <w:tcPr>
            <w:tcW w:type="dxa" w:w="19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100 Hz闭环、计时显示</w:t>
            </w:r>
          </w:p>
        </w:tc>
        <w:tc>
          <w:tcPr>
            <w:tcW w:type="dxa" w:w="317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构建通过；Flash 22344 B、SRAM 4507 B</w:t>
            </w:r>
          </w:p>
        </w:tc>
        <w:tc>
          <w:tcPr>
            <w:tcW w:type="dxa" w:w="221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软件与资源满足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理论圈时</w:t>
            </w:r>
          </w:p>
        </w:tc>
        <w:tc>
          <w:tcPr>
            <w:tcW w:type="dxa" w:w="19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单圈≤20 s</w:t>
            </w:r>
          </w:p>
        </w:tc>
        <w:tc>
          <w:tcPr>
            <w:tcW w:type="dxa" w:w="317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速度规划推算约16.7 s</w:t>
            </w:r>
          </w:p>
        </w:tc>
        <w:tc>
          <w:tcPr>
            <w:tcW w:type="dxa" w:w="221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有理论余量，非实测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静态±5 cm</w:t>
            </w:r>
          </w:p>
        </w:tc>
        <w:tc>
          <w:tcPr>
            <w:tcW w:type="dxa" w:w="19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≤5 s，最大误差≤1 cm</w:t>
            </w:r>
          </w:p>
        </w:tc>
        <w:tc>
          <w:tcPr>
            <w:tcW w:type="dxa" w:w="317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源材料未提供规范化实测记录</w:t>
            </w:r>
          </w:p>
        </w:tc>
        <w:tc>
          <w:tcPr>
            <w:tcW w:type="dxa" w:w="221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待整机验收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AB/整圈球位</w:t>
            </w:r>
          </w:p>
        </w:tc>
        <w:tc>
          <w:tcPr>
            <w:tcW w:type="dxa" w:w="19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AB≤8 s；整圈≤30 s；误差≤1 cm</w:t>
            </w:r>
          </w:p>
        </w:tc>
        <w:tc>
          <w:tcPr>
            <w:tcW w:type="dxa" w:w="317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源材料未提供整车实测数据</w:t>
            </w:r>
          </w:p>
        </w:tc>
        <w:tc>
          <w:tcPr>
            <w:tcW w:type="dxa" w:w="221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待整机验收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停车与图传</w:t>
            </w:r>
          </w:p>
        </w:tc>
        <w:tc>
          <w:tcPr>
            <w:tcW w:type="dxa" w:w="19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停车≤2 cm；稳定显示、记录、回放</w:t>
            </w:r>
          </w:p>
        </w:tc>
        <w:tc>
          <w:tcPr>
            <w:tcW w:type="dxa" w:w="317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停车偏差及无线图传端到端数据未提供</w:t>
            </w:r>
          </w:p>
        </w:tc>
        <w:tc>
          <w:tcPr>
            <w:tcW w:type="dxa" w:w="221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待场地/实机验收</w:t>
            </w:r>
          </w:p>
        </w:tc>
      </w:tr>
    </w:tbl>
    <w:p>
      <w:pPr>
        <w:keepNext w:val="0"/>
        <w:spacing w:lineRule="exact" w:line="160" w:before="0" w:after="0"/>
        <w:ind w:firstLine="0"/>
      </w:pPr>
    </w:p>
    <w:p>
      <w:pPr>
        <w:keepNext w:val="0"/>
        <w:spacing w:lineRule="exact" w:line="440" w:before="0" w:after="0"/>
        <w:ind w:firstLine="420"/>
        <w:jc w:val="both"/>
      </w:pPr>
      <w:r>
        <w:rPr>
          <w:rFonts w:ascii="Times New Roman" w:hAnsi="Times New Roman" w:eastAsia="宋体"/>
          <w:sz w:val="24"/>
        </w:rPr>
        <w:t>测试表明视觉算法、嵌入式实时性、通信协议、控制软件和资源占用达到当前设计阶段要求。空槽零候选与带球候选覆盖证明检测链路具有稳定候选输出，但未建立逐帧物理真值，不能将100%候选覆盖解释为100%识别准确率；0.30 mm/像素仅是理论采样尺度，也不能替代±1 cm位置误差验收。底盘16.7 s为依据编码器标定和速度曲线的计算值，停车偏差、实际圈时及满载弯道成功率仍应以标准场地数据为准。</w:t>
      </w:r>
    </w:p>
    <w:p>
      <w:pPr>
        <w:keepNext w:val="0"/>
        <w:spacing w:lineRule="exact" w:line="440" w:before="0" w:after="0"/>
        <w:ind w:firstLine="420"/>
        <w:jc w:val="both"/>
      </w:pPr>
      <w:r>
        <w:rPr>
          <w:rFonts w:ascii="Times New Roman" w:hAnsi="Times New Roman" w:eastAsia="宋体"/>
          <w:sz w:val="24"/>
        </w:rPr>
        <w:t>综合现有证据，系统已完成红外循迹、视觉测量、滚球控制、计时显示和安全保护设计，软件与实时性达到预期并具备完成赛题的理论条件；但静态滚球误差、AB段时间、整圈球位误差、停车偏差和无线图传仍缺实测数据，故暂不能判定整机全部达标。上述项目的最差值满足题目限值后，方可形成最终达标结论。</w:t>
      </w:r>
    </w:p>
    <w:p>
      <w:r>
        <w:br w:type="page"/>
      </w:r>
    </w:p>
    <w:p>
      <w:pPr>
        <w:pStyle w:val="1"/>
      </w:pPr>
      <w:r>
        <w:rPr>
          <w:rFonts w:ascii="Times New Roman" w:hAnsi="Times New Roman" w:eastAsia="黑体"/>
          <w:b/>
          <w:sz w:val="32"/>
        </w:rPr>
        <w:t>五、参考文献</w:t>
      </w:r>
    </w:p>
    <w:p>
      <w:pPr>
        <w:keepNext w:val="0"/>
        <w:spacing w:lineRule="exact" w:line="440" w:before="0" w:after="0"/>
        <w:ind w:left="420" w:hanging="420"/>
      </w:pPr>
      <w:r>
        <w:rPr>
          <w:rFonts w:ascii="Times New Roman" w:hAnsi="Times New Roman" w:eastAsia="宋体"/>
          <w:sz w:val="24"/>
        </w:rPr>
        <w:t>[1] TEXAS INSTRUMENTS. MSPM0G350x Mixed-Signal Microcontrollers Datasheet[EB/OL]. Dallas: Texas Instruments, 2025.</w:t>
      </w:r>
    </w:p>
    <w:p>
      <w:pPr>
        <w:keepNext w:val="0"/>
        <w:spacing w:lineRule="exact" w:line="440" w:before="0" w:after="0"/>
        <w:ind w:left="420" w:hanging="420"/>
      </w:pPr>
      <w:r>
        <w:rPr>
          <w:rFonts w:ascii="Times New Roman" w:hAnsi="Times New Roman" w:eastAsia="宋体"/>
          <w:sz w:val="24"/>
        </w:rPr>
        <w:t>[2] STMICROELECTRONICS. STM32F405xx/STM32F407xx Datasheet[EB/OL]. Geneva: STMicroelectronics, 2025.</w:t>
      </w:r>
    </w:p>
    <w:p>
      <w:pPr>
        <w:keepNext w:val="0"/>
        <w:spacing w:lineRule="exact" w:line="440" w:before="0" w:after="0"/>
        <w:ind w:left="420" w:hanging="420"/>
      </w:pPr>
      <w:r>
        <w:rPr>
          <w:rFonts w:ascii="Times New Roman" w:hAnsi="Times New Roman" w:eastAsia="宋体"/>
          <w:sz w:val="24"/>
        </w:rPr>
        <w:t>[3] DJI. RoboMaster M2006 P36直流无刷减速电机与C610电调使用说明[Z]. 深圳: 深圳市大疆创新科技有限公司.</w:t>
      </w:r>
    </w:p>
    <w:p>
      <w:pPr>
        <w:keepNext w:val="0"/>
        <w:spacing w:lineRule="exact" w:line="440" w:before="0" w:after="0"/>
        <w:ind w:left="420" w:hanging="420"/>
      </w:pPr>
      <w:r>
        <w:rPr>
          <w:rFonts w:ascii="Times New Roman" w:hAnsi="Times New Roman" w:eastAsia="宋体"/>
          <w:sz w:val="24"/>
        </w:rPr>
        <w:t>[4] BRADSKI G, KAEHLER A. Learning OpenCV: Computer Vision with the OpenCV Library[M]. Sebastopol: O'Reilly Media, 2008.</w:t>
      </w:r>
    </w:p>
    <w:p>
      <w:pPr>
        <w:keepNext w:val="0"/>
        <w:spacing w:lineRule="exact" w:line="440" w:before="0" w:after="0"/>
        <w:ind w:left="420" w:hanging="420"/>
      </w:pPr>
      <w:r>
        <w:rPr>
          <w:rFonts w:ascii="Times New Roman" w:hAnsi="Times New Roman" w:eastAsia="宋体"/>
          <w:sz w:val="24"/>
        </w:rPr>
        <w:t>[5] FRANKLIN G F, POWELL J D, EMAMI-NAEINI A. Feedback Control of Dynamic Systems[M]. 8th ed. Boston: Pearson, 2019.</w:t>
      </w:r>
    </w:p>
    <w:p>
      <w:pPr>
        <w:keepNext w:val="0"/>
        <w:spacing w:lineRule="exact" w:line="440" w:before="0" w:after="0"/>
        <w:ind w:left="420" w:hanging="420"/>
      </w:pPr>
      <w:r>
        <w:rPr>
          <w:rFonts w:ascii="Times New Roman" w:hAnsi="Times New Roman" w:eastAsia="宋体"/>
          <w:sz w:val="24"/>
        </w:rPr>
        <w:t>[6] CORKE P. Robotics, Vision and Control: Fundamental Algorithms in MATLAB[M]. 2nd ed. Cham: Springer, 2017.</w:t>
      </w:r>
    </w:p>
    <w:p>
      <w:r>
        <w:br w:type="page"/>
      </w:r>
    </w:p>
    <w:p>
      <w:pPr>
        <w:pStyle w:val="1"/>
      </w:pPr>
      <w:r>
        <w:rPr>
          <w:rFonts w:ascii="Times New Roman" w:hAnsi="Times New Roman" w:eastAsia="黑体"/>
          <w:b/>
          <w:sz w:val="32"/>
        </w:rPr>
        <w:t>附录1：电路原理图</w:t>
      </w:r>
    </w:p>
    <w:p>
      <w:r>
        <w:br w:type="page"/>
      </w:r>
    </w:p>
    <w:p>
      <w:pPr>
        <w:pStyle w:val="1"/>
      </w:pPr>
      <w:r>
        <w:rPr>
          <w:rFonts w:ascii="Times New Roman" w:hAnsi="Times New Roman" w:eastAsia="黑体"/>
          <w:b/>
          <w:sz w:val="32"/>
        </w:rPr>
        <w:t>附录2：源程序</w:t>
      </w:r>
    </w:p>
    <w:sectPr>
      <w:headerReference w:type="default" r:id="rId17"/>
      <w:footerReference w:type="default" r:id="rId18"/>
      <w:pgSz w:w="11906" w:h="16838"/>
      <w:pgMar w:top="1701" w:right="1417" w:bottom="1417" w:left="1417" w:header="850" w:footer="709" w:gutter="0"/>
      <w:cols w:space="720"/>
      <w:docGrid w:type="lines" w:linePitch="312"/>
      <w:pgNumType w:start="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BAD404" w14:textId="77777777">
      <w:r>
        <w:separator/>
      </w:r>
    </w:p>
  </w:endnote>
  <w:endnote w:type="continuationSeparator" w:id="0">
    <w:p w14:paraId="45F6E44D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573EB3" w14:textId="77777777">
    <w:pPr>
      <w:pStyle w:val="a5"/>
      <w:framePr w:wrap="around" w:vAnchor="text" w:hAnchor="margin" w:xAlign="right" w:y="1"/>
      <w:rPr>
        <w:rStyle w:val="a3"/>
      </w:rPr>
    </w:pPr>
    <w:r>
      <w:fldChar w:fldCharType="begin"/>
    </w:r>
    <w:r>
      <w:rPr>
        <w:rStyle w:val="a3"/>
      </w:rPr>
      <w:instrText xml:space="preserve">PAGE  </w:instrText>
    </w:r>
    <w:r>
      <w:fldChar w:fldCharType="separate"/>
    </w:r>
    <w:r>
      <w:fldChar w:fldCharType="end"/>
    </w:r>
  </w:p>
  <w:p w14:paraId="480D40A7" w14:textId="77777777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FD7F10" w14:textId="77777777">
    <w:pPr>
      <w:pStyle w:val="a5"/>
      <w:framePr w:wrap="around" w:vAnchor="text" w:hAnchor="margin" w:xAlign="right" w:y="1"/>
      <w:rPr>
        <w:rStyle w:val="a3"/>
      </w:rPr>
    </w:pPr>
    <w:r>
      <w:fldChar w:fldCharType="begin"/>
    </w:r>
    <w:r>
      <w:rPr>
        <w:rStyle w:val="a3"/>
      </w:rPr>
      <w:instrText xml:space="preserve">PAGE  </w:instrText>
    </w:r>
    <w:r>
      <w:fldChar w:fldCharType="separate"/>
    </w:r>
    <w:r>
      <w:rPr>
        <w:rStyle w:val="a3"/>
        <w:lang w:val="en-US" w:eastAsia="zh-CN"/>
      </w:rPr>
      <w:t>III</w:t>
    </w:r>
    <w:r>
      <w:fldChar w:fldCharType="end"/>
    </w:r>
  </w:p>
  <w:p w14:paraId="42004F3F" w14:textId="77777777">
    <w:pPr>
      <w:pStyle w:val="a5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32B50" w14:textId="77777777">
    <w:pPr>
      <w:pStyle w:val="a5"/>
      <w:framePr w:wrap="around" w:vAnchor="text" w:hAnchor="margin" w:xAlign="right" w:y="1"/>
      <w:rPr>
        <w:rStyle w:val="a3"/>
      </w:rPr>
    </w:pPr>
    <w:r>
      <w:fldChar w:fldCharType="begin"/>
    </w:r>
    <w:r>
      <w:rPr>
        <w:rStyle w:val="a3"/>
      </w:rPr>
      <w:instrText xml:space="preserve">PAGE  </w:instrText>
    </w:r>
    <w:r>
      <w:fldChar w:fldCharType="separate"/>
    </w:r>
    <w:r>
      <w:rPr>
        <w:rStyle w:val="a3"/>
        <w:lang w:val="en-US" w:eastAsia="zh-CN"/>
      </w:rPr>
      <w:t>2</w:t>
    </w:r>
    <w:r>
      <w:fldChar w:fldCharType="end"/>
    </w:r>
  </w:p>
  <w:p w14:paraId="3AB17C59" w14:textId="77777777">
    <w:pPr>
      <w:pStyle w:val="a5"/>
      <w:ind w:right="360"/>
    </w:pP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spacing w:lineRule="exact" w:line="280" w:before="0" w:after="0"/>
      <w:ind w:firstLine="0"/>
      <w:jc w:val="right"/>
    </w:pPr>
    <w:r>
      <w:rPr>
        <w:rFonts w:ascii="Times New Roman" w:hAnsi="Times New Roman" w:eastAsia="宋体"/>
        <w:sz w:val="21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268729" w14:textId="77777777">
      <w:r>
        <w:separator/>
      </w:r>
    </w:p>
  </w:footnote>
  <w:footnote w:type="continuationSeparator" w:id="0">
    <w:p w14:paraId="3806BC62" w14:textId="77777777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1741A"/>
    <w:rsid w:val="00140E32"/>
    <w:rsid w:val="0028778B"/>
    <w:rsid w:val="002951EB"/>
    <w:rsid w:val="002B3CCE"/>
    <w:rsid w:val="002F2974"/>
    <w:rsid w:val="0030276E"/>
    <w:rsid w:val="00345690"/>
    <w:rsid w:val="00416DB3"/>
    <w:rsid w:val="004C15CF"/>
    <w:rsid w:val="004F3621"/>
    <w:rsid w:val="007911AF"/>
    <w:rsid w:val="007F0E3F"/>
    <w:rsid w:val="00932A78"/>
    <w:rsid w:val="00B0259B"/>
    <w:rsid w:val="00BB1A9E"/>
    <w:rsid w:val="00D72EBF"/>
    <w:rsid w:val="00D97DB3"/>
    <w:rsid w:val="00DA6F55"/>
    <w:rsid w:val="00DB4CA1"/>
    <w:rsid w:val="00E06735"/>
    <w:rsid w:val="00F731A0"/>
    <w:rsid w:val="079A14B1"/>
    <w:rsid w:val="13B3501E"/>
    <w:rsid w:val="13B35B2F"/>
    <w:rsid w:val="18157C88"/>
    <w:rsid w:val="19597047"/>
    <w:rsid w:val="2891269A"/>
    <w:rsid w:val="2FB728E1"/>
    <w:rsid w:val="38DC6907"/>
    <w:rsid w:val="38DC737F"/>
    <w:rsid w:val="42EB4F99"/>
    <w:rsid w:val="45E75682"/>
    <w:rsid w:val="4E961955"/>
    <w:rsid w:val="53AA0479"/>
    <w:rsid w:val="54D93442"/>
    <w:rsid w:val="58FD0655"/>
    <w:rsid w:val="632C1F7A"/>
    <w:rsid w:val="70147798"/>
    <w:rsid w:val="718107C0"/>
    <w:rsid w:val="771940C9"/>
    <w:rsid w:val="7C2F5587"/>
    <w:rsid w:val="7D1A17E2"/>
    <w:rsid w:val="7EEE0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217B9CDF"/>
  <w15:chartTrackingRefBased/>
  <w15:docId w15:val="{8A78B196-76D5-4FA1-9375-76BEF6D5B995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/>
    <w:lsdException w:name="footer" w:uiPriority="0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uiPriority="0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lineRule="exact" w:line="440" w:before="0" w:after="0"/>
      <w:jc w:val="both"/>
    </w:pPr>
    <w:rPr>
      <w:rFonts w:ascii="Times New Roman" w:hAnsi="Times New Roman" w:eastAsia="宋体"/>
      <w:kern w:val="2"/>
      <w:sz w:val="24"/>
      <w:szCs w:val="21"/>
    </w:rPr>
  </w:style>
  <w:style w:type="paragraph" w:styleId="1">
    <w:name w:val="heading 1"/>
    <w:basedOn w:val="a"/>
    <w:next w:val="a"/>
    <w:qFormat/>
    <w:pPr>
      <w:keepNext/>
      <w:keepLines/>
      <w:spacing w:before="0" w:after="0" w:line="440" w:lineRule="exact"/>
      <w:outlineLvl w:val="0"/>
    </w:pPr>
    <w:rPr>
      <w:rFonts w:ascii="Times New Roman" w:hAnsi="Times New Roman" w:eastAsia="黑体"/>
      <w:b/>
      <w:bCs/>
      <w:color w:val="000000"/>
      <w:kern w:val="44"/>
      <w:sz w:val="32"/>
      <w:szCs w:val="44"/>
    </w:rPr>
  </w:style>
  <w:style w:type="paragraph" w:styleId="2">
    <w:name w:val="heading 2"/>
    <w:basedOn w:val="a"/>
    <w:next w:val="a"/>
    <w:qFormat/>
    <w:pPr>
      <w:keepNext/>
      <w:keepLines/>
      <w:spacing w:before="0" w:after="0" w:line="440" w:lineRule="exact"/>
      <w:outlineLvl w:val="1"/>
    </w:pPr>
    <w:rPr>
      <w:rFonts w:ascii="Times New Roman" w:eastAsia="宋体" w:hAnsi="Times New Roman"/>
      <w:b/>
      <w:bCs/>
      <w:color w:val="000000"/>
      <w:sz w:val="28"/>
      <w:szCs w:val="32"/>
    </w:rPr>
  </w:style>
  <w:style w:type="paragraph" w:styleId="3">
    <w:name w:val="heading 3"/>
    <w:basedOn w:val="a"/>
    <w:next w:val="a"/>
    <w:qFormat/>
    <w:pPr>
      <w:keepNext/>
      <w:keepLines/>
      <w:spacing w:before="0" w:after="0" w:line="440" w:lineRule="exact"/>
      <w:outlineLvl w:val="2"/>
    </w:pPr>
    <w:rPr>
      <w:rFonts w:ascii="Times New Roman" w:hAnsi="Times New Roman" w:eastAsia="宋体"/>
      <w:b/>
      <w:bCs/>
      <w:color w:val="000000"/>
      <w:sz w:val="24"/>
      <w:szCs w:val="32"/>
    </w:rPr>
  </w:style>
  <w:style w:type="character" w:default="1" w:styleId="a0">
    <w:name w:val="Default Paragraph Font"/>
  </w:style>
  <w:style w:type="table" w:default="1" w:styleId="a1">
    <w:name w:val="Normal Table"/>
    <w:uiPriority w:val="99"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basedOn w:val="a0"/>
  </w:style>
  <w:style w:type="character" w:styleId="a4">
    <w:name w:val="Hyperlink"/>
    <w:uiPriority w:val="99"/>
    <w:rPr>
      <w:color w:val="0000FF"/>
      <w:u w:val="single"/>
    </w:rPr>
  </w:style>
  <w:style w:type="paragraph" w:styleId="TOC3">
    <w:name w:val="toc 3"/>
    <w:basedOn w:val="a"/>
    <w:next w:val="a"/>
    <w:uiPriority w:val="39"/>
    <w:pPr>
      <w:ind w:leftChars="400" w:left="840"/>
    </w:pPr>
  </w:style>
  <w:style w:type="paragraph" w:styleId="TOC1">
    <w:name w:val="toc 1"/>
    <w:basedOn w:val="a"/>
    <w:next w:val="a"/>
    <w:uiPriority w:val="39"/>
    <w:pPr>
      <w:tabs>
        <w:tab w:val="right" w:leader="dot" w:pos="8296"/>
      </w:tabs>
    </w:pPr>
    <w:rPr>
      <w:rFonts w:ascii="SimSun" w:hAnsi="SimSun"/>
      <w:lang w:val="en-US" w:eastAsia="zh-CN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Date"/>
    <w:basedOn w:val="a"/>
    <w:next w:val="a"/>
    <w:pPr>
      <w:ind w:leftChars="2500" w:left="100"/>
    </w:pPr>
  </w:style>
  <w:style w:type="paragraph" w:styleId="TOC2">
    <w:name w:val="toc 2"/>
    <w:basedOn w:val="a"/>
    <w:next w:val="a"/>
    <w:uiPriority w:val="39"/>
    <w:pPr>
      <w:ind w:leftChars="200" w:left="420"/>
    </w:pPr>
  </w:style>
  <w:style w:type="character" w:styleId="a8">
    <w:name w:val="Strong"/>
    <w:uiPriority w:val="22"/>
    <w:qFormat/>
    <w:rsid w:val="00DA6F55"/>
    <w:rPr>
      <w:b/>
      <w:bCs/>
    </w:rPr>
  </w:style>
  <w:style w:type="paragraph" w:customStyle="1" w:styleId="CompactTableText">
    <w:name w:val="Compact Table Text"/>
    <w:pPr>
      <w:spacing w:lineRule="exact" w:line="300" w:before="0" w:after="0"/>
    </w:pPr>
    <w:rPr>
      <w:rFonts w:ascii="Times New Roman" w:hAnsi="Times New Roman" w:eastAsia="宋体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92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4.png"/><Relationship Id="rId5" Type="http://schemas.openxmlformats.org/officeDocument/2006/relationships/endnotes" Target="endnotes.xml"/><Relationship Id="rId10" Type="http://schemas.openxmlformats.org/officeDocument/2006/relationships/image" Target="media/image3.png"/><Relationship Id="rId4" Type="http://schemas.openxmlformats.org/officeDocument/2006/relationships/footnotes" Target="footnotes.xml"/><Relationship Id="rId9" Type="http://schemas.openxmlformats.org/officeDocument/2006/relationships/image" Target="media/image2.png"/><Relationship Id="rId14" Type="http://schemas.openxmlformats.org/officeDocument/2006/relationships/theme" Target="theme/theme1.xml"/><Relationship Id="rId15" Type="http://schemas.openxmlformats.org/officeDocument/2006/relationships/header" Target="header1.xml"/><Relationship Id="rId16" Type="http://schemas.openxmlformats.org/officeDocument/2006/relationships/footer" Target="footer4.xml"/><Relationship Id="rId17" Type="http://schemas.openxmlformats.org/officeDocument/2006/relationships/header" Target="header2.xml"/><Relationship Id="rId18" Type="http://schemas.openxmlformats.org/officeDocument/2006/relationships/footer" Target="footer5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&#35770;&#25991;&#27169;&#26495;1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论文模板1</Template>
  <TotalTime>0</TotalTime>
  <Pages>9</Pages>
  <Words>1544</Words>
  <Characters>1852</Characters>
  <Application>Microsoft Office Word</Application>
  <DocSecurity>4</DocSecurity>
  <PresentationFormat/>
  <Lines>193</Lines>
  <Paragraphs>127</Paragraphs>
  <Slides>0</Slides>
  <Notes>0</Notes>
  <HiddenSlides>0</HiddenSlides>
  <MMClips>0</MMClips>
  <ScaleCrop>false</ScaleCrop>
  <Manager/>
  <Company>jujumao</Company>
  <LinksUpToDate>false</LinksUpToDate>
  <CharactersWithSpaces>1943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车载平衡滚球运动控制系统（H题）设计报告</dc:title>
  <dc:subject>全国大学生电子设计竞赛广东赛区设计报告</dc:subject>
  <dc:creator/>
  <cp:keywords/>
  <dc:description/>
  <cp:lastModifiedBy/>
  <cp:revision>2</cp:revision>
  <dcterms:created xsi:type="dcterms:W3CDTF">2026-07-31T21:10:00Z</dcterms:created>
  <dcterms:modified xsi:type="dcterms:W3CDTF">2026-07-31T21:10:00Z</dcterms:modified>
  <cp:category/>
</cp:coreProperties>
</file>