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color w:val="2852D9"/>
          <w:sz w:val="28"/>
        </w:rPr>
        <w:t>BLIGLÖMD</w:t>
      </w:r>
    </w:p>
    <w:p>
      <w:pPr>
        <w:spacing w:after="120"/>
        <w:jc w:val="left"/>
      </w:pPr>
      <w:r>
        <w:rPr>
          <w:rFonts w:ascii="Arial" w:hAnsi="Arial"/>
          <w:b/>
          <w:color w:val="1B2640"/>
          <w:sz w:val="48"/>
        </w:rPr>
        <w:t>Juridisk bedömning: Integritetspolicy och GDPR-efterlevnad</w:t>
      </w:r>
    </w:p>
    <w:p>
      <w:pPr>
        <w:spacing w:after="400"/>
      </w:pPr>
      <w:r>
        <w:rPr>
          <w:rFonts w:ascii="Arial" w:hAnsi="Arial"/>
          <w:b w:val="0"/>
          <w:i w:val="0"/>
          <w:color w:val="6B7A99"/>
          <w:sz w:val="21"/>
        </w:rPr>
        <w:t>Genomförd: 1 juli 2026  ·  Granskat underlag: käll­kod (src/pages/Privacy.tsx, src/config/terms.ts), databasschema, edge functions, samt tredjepartstjänster i produktion</w:t>
      </w:r>
    </w:p>
    <w:p>
      <w:pPr>
        <w:spacing w:after="80"/>
        <w:shd w:val="clear" w:fill="FEF9E8"/>
        <w:ind w:left="144" w:right="144"/>
      </w:pPr>
      <w:r>
        <w:rPr>
          <w:rFonts w:ascii="Arial" w:hAnsi="Arial"/>
          <w:b/>
          <w:color w:val="92400E"/>
          <w:sz w:val="21"/>
        </w:rPr>
        <w:t>VIKTIGT — LÄS FÖRST</w:t>
      </w:r>
    </w:p>
    <w:p>
      <w:pPr>
        <w:shd w:val="clear" w:fill="FEF9E8"/>
        <w:spacing w:after="480"/>
        <w:ind w:left="144" w:right="144"/>
      </w:pPr>
      <w:r>
        <w:rPr>
          <w:rFonts w:ascii="Arial" w:hAnsi="Arial"/>
          <w:color w:val="92400E"/>
          <w:sz w:val="20"/>
        </w:rPr>
        <w:t>Denna rapport är sammanställd av en AI-assistent (Claude) genom teknisk granskning av BliGlömds faktiska källkod, databas och produktionsberoenden, korshänvisat mot GDPR och relevant svensk lagstiftning (Bokföringslagen, Lagen om elektronisk kommunikation, IMY:s vägledning). Den ersätter INTE en genomgång av en auktoriserad svensk jurist eller dataskyddsombud. Särskilt fynd markerade HÖG risk bör valideras juridiskt innan de betraktas som lösta, med tanke på det faktiska ekonomiska och ansvarsmässiga exponering det innebär för en enskild firma.</w:t>
      </w:r>
    </w:p>
    <w:p>
      <w:r>
        <w:br w:type="page"/>
      </w:r>
    </w:p>
    <w:p>
      <w:pPr>
        <w:pStyle w:val="Heading1"/>
      </w:pPr>
      <w:r>
        <w:rPr>
          <w:rFonts w:ascii="Arial" w:hAnsi="Arial"/>
          <w:color w:val="1B2640"/>
        </w:rPr>
        <w:t>1. Sammanfattning</w:t>
      </w:r>
    </w:p>
    <w:p>
      <w:pPr>
        <w:spacing w:after="160"/>
      </w:pPr>
      <w:r>
        <w:rPr>
          <w:rFonts w:ascii="Arial" w:hAnsi="Arial"/>
          <w:b w:val="0"/>
          <w:i w:val="0"/>
          <w:sz w:val="22"/>
        </w:rPr>
        <w:t>Integritetspolicyn för BliGlömd (gäller fr.o.m. 30 juni 2026) är i grunden välstrukturerad och täcker de flesta obligatoriska GDPR-element: personuppgiftsansvarig, kategorier av uppgifter, rättslig grund per ändamål, lagringstider, personuppgiftsbiträden, samt de registrerades rättigheter. Granskningen identifierade dock ett antal brister — en av hög allvarlighetsgrad som rör en odeklarerad tredjepartstjänst som tar emot personuppgifter, samt två operativa fel som redan är åtgärdade under dagens session (trasig kontakt-e-post och en felkonfigurerad avsändardomän som riskerade att tysta hela tjänstens kärnfunktion).</w:t>
      </w:r>
    </w:p>
    <w:p>
      <w:pPr>
        <w:spacing w:after="160"/>
      </w:pPr>
      <w:r>
        <w:rPr>
          <w:rFonts w:ascii="Arial" w:hAnsi="Arial"/>
          <w:b w:val="0"/>
          <w:i w:val="0"/>
          <w:sz w:val="22"/>
        </w:rPr>
        <w:t>Sammantagen riskbild: MEDEL-HÖG före dagens kodfixar, MEDEL efter. Den kvarstående högriskpunkten (F1) kräver ett affärsbeslut — inte bara en textändring — och bör prioriteras.</w:t>
      </w:r>
    </w:p>
    <w:p>
      <w:pPr>
        <w:pStyle w:val="Heading2"/>
      </w:pPr>
      <w:r>
        <w:rPr>
          <w:rFonts w:ascii="Arial" w:hAnsi="Arial"/>
          <w:color w:val="1B2640"/>
        </w:rPr>
        <w:t>Fynd i sammandrag</w:t>
      </w:r>
    </w:p>
    <w:tbl>
      <w:tblPr>
        <w:tblW w:type="auto" w:w="0"/>
        <w:jc w:val="center"/>
        <w:tblLook w:firstColumn="1" w:firstRow="1" w:lastColumn="0" w:lastRow="0" w:noHBand="0" w:noVBand="1" w:val="04A0"/>
      </w:tblPr>
      <w:tblGrid>
        <w:gridCol w:w="2340"/>
        <w:gridCol w:w="2340"/>
        <w:gridCol w:w="2340"/>
        <w:gridCol w:w="2340"/>
      </w:tblGrid>
      <w:tr>
        <w:tc>
          <w:tcPr>
            <w:tcW w:type="dxa" w:w="864"/>
            <w:shd w:val="clear" w:color="auto" w:fill="1E3A8A"/>
          </w:tcPr>
          <w:p>
            <w:r>
              <w:rPr>
                <w:rFonts w:ascii="Arial" w:hAnsi="Arial"/>
                <w:b/>
                <w:color w:val="FFFFFF"/>
                <w:sz w:val="20"/>
              </w:rPr>
              <w:t>#</w:t>
            </w:r>
          </w:p>
        </w:tc>
        <w:tc>
          <w:tcPr>
            <w:tcW w:type="dxa" w:w="6192"/>
            <w:shd w:val="clear" w:color="auto" w:fill="1E3A8A"/>
          </w:tcPr>
          <w:p>
            <w:r>
              <w:rPr>
                <w:rFonts w:ascii="Arial" w:hAnsi="Arial"/>
                <w:b/>
                <w:color w:val="FFFFFF"/>
                <w:sz w:val="20"/>
              </w:rPr>
              <w:t>Fynd</w:t>
            </w:r>
          </w:p>
        </w:tc>
        <w:tc>
          <w:tcPr>
            <w:tcW w:type="dxa" w:w="1440"/>
            <w:shd w:val="clear" w:color="auto" w:fill="1E3A8A"/>
          </w:tcPr>
          <w:p>
            <w:r>
              <w:rPr>
                <w:rFonts w:ascii="Arial" w:hAnsi="Arial"/>
                <w:b/>
                <w:color w:val="FFFFFF"/>
                <w:sz w:val="20"/>
              </w:rPr>
              <w:t>Risk</w:t>
            </w:r>
          </w:p>
        </w:tc>
        <w:tc>
          <w:tcPr>
            <w:tcW w:type="dxa" w:w="2160"/>
            <w:shd w:val="clear" w:color="auto" w:fill="1E3A8A"/>
          </w:tcPr>
          <w:p>
            <w:r>
              <w:rPr>
                <w:rFonts w:ascii="Arial" w:hAnsi="Arial"/>
                <w:b/>
                <w:color w:val="FFFFFF"/>
                <w:sz w:val="20"/>
              </w:rPr>
              <w:t>Status</w:t>
            </w:r>
          </w:p>
        </w:tc>
      </w:tr>
      <w:tr>
        <w:tc>
          <w:tcPr>
            <w:tcW w:type="dxa" w:w="864"/>
          </w:tcPr>
          <w:p>
            <w:r>
              <w:rPr>
                <w:rFonts w:ascii="Arial" w:hAnsi="Arial"/>
                <w:sz w:val="20"/>
              </w:rPr>
              <w:t>F1</w:t>
            </w:r>
          </w:p>
        </w:tc>
        <w:tc>
          <w:tcPr>
            <w:tcW w:type="dxa" w:w="6192"/>
          </w:tcPr>
          <w:p>
            <w:r>
              <w:rPr>
                <w:rFonts w:ascii="Arial" w:hAnsi="Arial"/>
                <w:sz w:val="19"/>
              </w:rPr>
              <w:t>Odeklarerat personuppgiftsbiträde (XposedOrNot) tar emot skannade e-postadresser i klartext, utan avtal och utan känd överföringsgrund utanför EU/EES.</w:t>
            </w:r>
          </w:p>
        </w:tc>
        <w:tc>
          <w:tcPr>
            <w:tcW w:type="dxa" w:w="1440"/>
          </w:tcPr>
          <w:p>
            <w:r>
              <w:rPr>
                <w:rFonts w:ascii="Arial" w:hAnsi="Arial"/>
                <w:b/>
                <w:color w:val="B91C1C"/>
                <w:sz w:val="19"/>
              </w:rPr>
              <w:t>HÖG</w:t>
            </w:r>
          </w:p>
        </w:tc>
        <w:tc>
          <w:tcPr>
            <w:tcW w:type="dxa" w:w="2160"/>
          </w:tcPr>
          <w:p>
            <w:r>
              <w:rPr>
                <w:rFonts w:ascii="Arial" w:hAnsi="Arial"/>
                <w:sz w:val="19"/>
              </w:rPr>
              <w:t>Kvarstår — kräver beslut</w:t>
            </w:r>
          </w:p>
        </w:tc>
      </w:tr>
      <w:tr>
        <w:tc>
          <w:tcPr>
            <w:tcW w:type="dxa" w:w="864"/>
          </w:tcPr>
          <w:p>
            <w:r>
              <w:rPr>
                <w:rFonts w:ascii="Arial" w:hAnsi="Arial"/>
                <w:sz w:val="20"/>
              </w:rPr>
              <w:t>F2</w:t>
            </w:r>
          </w:p>
        </w:tc>
        <w:tc>
          <w:tcPr>
            <w:tcW w:type="dxa" w:w="6192"/>
          </w:tcPr>
          <w:p>
            <w:r>
              <w:rPr>
                <w:rFonts w:ascii="Arial" w:hAnsi="Arial"/>
                <w:sz w:val="19"/>
              </w:rPr>
              <w:t>Kontakt-e-post support@bliglomd.se existerade aldrig (fel domän).</w:t>
            </w:r>
          </w:p>
        </w:tc>
        <w:tc>
          <w:tcPr>
            <w:tcW w:type="dxa" w:w="1440"/>
          </w:tcPr>
          <w:p>
            <w:r>
              <w:rPr>
                <w:rFonts w:ascii="Arial" w:hAnsi="Arial"/>
                <w:b/>
                <w:color w:val="B91C1C"/>
                <w:sz w:val="19"/>
              </w:rPr>
              <w:t>HÖG</w:t>
            </w:r>
          </w:p>
        </w:tc>
        <w:tc>
          <w:tcPr>
            <w:tcW w:type="dxa" w:w="2160"/>
          </w:tcPr>
          <w:p>
            <w:r>
              <w:rPr>
                <w:rFonts w:ascii="Arial" w:hAnsi="Arial"/>
                <w:sz w:val="19"/>
              </w:rPr>
              <w:t>ÅTGÄRDAT idag</w:t>
            </w:r>
          </w:p>
        </w:tc>
      </w:tr>
      <w:tr>
        <w:tc>
          <w:tcPr>
            <w:tcW w:type="dxa" w:w="864"/>
          </w:tcPr>
          <w:p>
            <w:r>
              <w:rPr>
                <w:rFonts w:ascii="Arial" w:hAnsi="Arial"/>
                <w:sz w:val="20"/>
              </w:rPr>
              <w:t>F3</w:t>
            </w:r>
          </w:p>
        </w:tc>
        <w:tc>
          <w:tcPr>
            <w:tcW w:type="dxa" w:w="6192"/>
          </w:tcPr>
          <w:p>
            <w:r>
              <w:rPr>
                <w:rFonts w:ascii="Arial" w:hAnsi="Arial"/>
                <w:sz w:val="19"/>
              </w:rPr>
              <w:t>Resend-avsändardomän felkonfigurerad — riskerade att alla utgående e-post (inkl. GDPR-förfrågningar till bolag) aldrig levererades.</w:t>
            </w:r>
          </w:p>
        </w:tc>
        <w:tc>
          <w:tcPr>
            <w:tcW w:type="dxa" w:w="1440"/>
          </w:tcPr>
          <w:p>
            <w:r>
              <w:rPr>
                <w:rFonts w:ascii="Arial" w:hAnsi="Arial"/>
                <w:b/>
                <w:color w:val="B91C1C"/>
                <w:sz w:val="19"/>
              </w:rPr>
              <w:t>HÖG</w:t>
            </w:r>
          </w:p>
        </w:tc>
        <w:tc>
          <w:tcPr>
            <w:tcW w:type="dxa" w:w="2160"/>
          </w:tcPr>
          <w:p>
            <w:r>
              <w:rPr>
                <w:rFonts w:ascii="Arial" w:hAnsi="Arial"/>
                <w:sz w:val="19"/>
              </w:rPr>
              <w:t>Kod ÅTGÄRDAT — DNS kvarstår</w:t>
            </w:r>
          </w:p>
        </w:tc>
      </w:tr>
      <w:tr>
        <w:tc>
          <w:tcPr>
            <w:tcW w:type="dxa" w:w="864"/>
          </w:tcPr>
          <w:p>
            <w:r>
              <w:rPr>
                <w:rFonts w:ascii="Arial" w:hAnsi="Arial"/>
                <w:sz w:val="20"/>
              </w:rPr>
              <w:t>F4</w:t>
            </w:r>
          </w:p>
        </w:tc>
        <w:tc>
          <w:tcPr>
            <w:tcW w:type="dxa" w:w="6192"/>
          </w:tcPr>
          <w:p>
            <w:r>
              <w:rPr>
                <w:rFonts w:ascii="Arial" w:hAnsi="Arial"/>
                <w:sz w:val="19"/>
              </w:rPr>
              <w:t>"EU-datahantering" för Stripe/Resend är för vagt — anger ingen faktisk överföringsmekanism.</w:t>
            </w:r>
          </w:p>
        </w:tc>
        <w:tc>
          <w:tcPr>
            <w:tcW w:type="dxa" w:w="1440"/>
          </w:tcPr>
          <w:p>
            <w:r>
              <w:rPr>
                <w:rFonts w:ascii="Arial" w:hAnsi="Arial"/>
                <w:b/>
                <w:color w:val="92400E"/>
                <w:sz w:val="19"/>
              </w:rPr>
              <w:t>MEDEL</w:t>
            </w:r>
          </w:p>
        </w:tc>
        <w:tc>
          <w:tcPr>
            <w:tcW w:type="dxa" w:w="2160"/>
          </w:tcPr>
          <w:p>
            <w:r>
              <w:rPr>
                <w:rFonts w:ascii="Arial" w:hAnsi="Arial"/>
                <w:sz w:val="19"/>
              </w:rPr>
              <w:t>Kvarstår</w:t>
            </w:r>
          </w:p>
        </w:tc>
      </w:tr>
      <w:tr>
        <w:tc>
          <w:tcPr>
            <w:tcW w:type="dxa" w:w="864"/>
          </w:tcPr>
          <w:p>
            <w:r>
              <w:rPr>
                <w:rFonts w:ascii="Arial" w:hAnsi="Arial"/>
                <w:sz w:val="20"/>
              </w:rPr>
              <w:t>F5</w:t>
            </w:r>
          </w:p>
        </w:tc>
        <w:tc>
          <w:tcPr>
            <w:tcW w:type="dxa" w:w="6192"/>
          </w:tcPr>
          <w:p>
            <w:r>
              <w:rPr>
                <w:rFonts w:ascii="Arial" w:hAnsi="Arial"/>
                <w:sz w:val="19"/>
              </w:rPr>
              <w:t>Skanning av tredje parts e-postadresser (inte bara kundens egen) är inte reglerad i policyn.</w:t>
            </w:r>
          </w:p>
        </w:tc>
        <w:tc>
          <w:tcPr>
            <w:tcW w:type="dxa" w:w="1440"/>
          </w:tcPr>
          <w:p>
            <w:r>
              <w:rPr>
                <w:rFonts w:ascii="Arial" w:hAnsi="Arial"/>
                <w:b/>
                <w:color w:val="92400E"/>
                <w:sz w:val="19"/>
              </w:rPr>
              <w:t>MEDEL</w:t>
            </w:r>
          </w:p>
        </w:tc>
        <w:tc>
          <w:tcPr>
            <w:tcW w:type="dxa" w:w="2160"/>
          </w:tcPr>
          <w:p>
            <w:r>
              <w:rPr>
                <w:rFonts w:ascii="Arial" w:hAnsi="Arial"/>
                <w:sz w:val="19"/>
              </w:rPr>
              <w:t>Kvarstår</w:t>
            </w:r>
          </w:p>
        </w:tc>
      </w:tr>
      <w:tr>
        <w:tc>
          <w:tcPr>
            <w:tcW w:type="dxa" w:w="864"/>
          </w:tcPr>
          <w:p>
            <w:r>
              <w:rPr>
                <w:rFonts w:ascii="Arial" w:hAnsi="Arial"/>
                <w:sz w:val="20"/>
              </w:rPr>
              <w:t>F6</w:t>
            </w:r>
          </w:p>
        </w:tc>
        <w:tc>
          <w:tcPr>
            <w:tcW w:type="dxa" w:w="6192"/>
          </w:tcPr>
          <w:p>
            <w:r>
              <w:rPr>
                <w:rFonts w:ascii="Arial" w:hAnsi="Arial"/>
                <w:sz w:val="19"/>
              </w:rPr>
              <w:t>Lagringstid enligt Bokföringslagen är formulerad oprecist.</w:t>
            </w:r>
          </w:p>
        </w:tc>
        <w:tc>
          <w:tcPr>
            <w:tcW w:type="dxa" w:w="1440"/>
          </w:tcPr>
          <w:p>
            <w:r>
              <w:rPr>
                <w:rFonts w:ascii="Arial" w:hAnsi="Arial"/>
                <w:b/>
                <w:color w:val="156C35"/>
                <w:sz w:val="19"/>
              </w:rPr>
              <w:t>LÅG</w:t>
            </w:r>
          </w:p>
        </w:tc>
        <w:tc>
          <w:tcPr>
            <w:tcW w:type="dxa" w:w="2160"/>
          </w:tcPr>
          <w:p>
            <w:r>
              <w:rPr>
                <w:rFonts w:ascii="Arial" w:hAnsi="Arial"/>
                <w:sz w:val="19"/>
              </w:rPr>
              <w:t>Kvarstår — enkel textfix</w:t>
            </w:r>
          </w:p>
        </w:tc>
      </w:tr>
      <w:tr>
        <w:tc>
          <w:tcPr>
            <w:tcW w:type="dxa" w:w="864"/>
          </w:tcPr>
          <w:p>
            <w:r>
              <w:rPr>
                <w:rFonts w:ascii="Arial" w:hAnsi="Arial"/>
                <w:sz w:val="20"/>
              </w:rPr>
              <w:t>F7</w:t>
            </w:r>
          </w:p>
        </w:tc>
        <w:tc>
          <w:tcPr>
            <w:tcW w:type="dxa" w:w="6192"/>
          </w:tcPr>
          <w:p>
            <w:r>
              <w:rPr>
                <w:rFonts w:ascii="Arial" w:hAnsi="Arial"/>
                <w:sz w:val="19"/>
              </w:rPr>
              <w:t>"Kakor"-avsnittet beskriver tekniken fel (Supabase använder localStorage, inte en cookie).</w:t>
            </w:r>
          </w:p>
        </w:tc>
        <w:tc>
          <w:tcPr>
            <w:tcW w:type="dxa" w:w="1440"/>
          </w:tcPr>
          <w:p>
            <w:r>
              <w:rPr>
                <w:rFonts w:ascii="Arial" w:hAnsi="Arial"/>
                <w:b/>
                <w:color w:val="156C35"/>
                <w:sz w:val="19"/>
              </w:rPr>
              <w:t>LÅG</w:t>
            </w:r>
          </w:p>
        </w:tc>
        <w:tc>
          <w:tcPr>
            <w:tcW w:type="dxa" w:w="2160"/>
          </w:tcPr>
          <w:p>
            <w:r>
              <w:rPr>
                <w:rFonts w:ascii="Arial" w:hAnsi="Arial"/>
                <w:sz w:val="19"/>
              </w:rPr>
              <w:t>Kvarstår — enkel textfix</w:t>
            </w:r>
          </w:p>
        </w:tc>
      </w:tr>
      <w:tr>
        <w:tc>
          <w:tcPr>
            <w:tcW w:type="dxa" w:w="864"/>
          </w:tcPr>
          <w:p>
            <w:r>
              <w:rPr>
                <w:rFonts w:ascii="Arial" w:hAnsi="Arial"/>
                <w:sz w:val="20"/>
              </w:rPr>
              <w:t>F8</w:t>
            </w:r>
          </w:p>
        </w:tc>
        <w:tc>
          <w:tcPr>
            <w:tcW w:type="dxa" w:w="6192"/>
          </w:tcPr>
          <w:p>
            <w:r>
              <w:rPr>
                <w:rFonts w:ascii="Arial" w:hAnsi="Arial"/>
                <w:sz w:val="19"/>
              </w:rPr>
              <w:t>Ingen åldersgräns/minderårig-skrivning.</w:t>
            </w:r>
          </w:p>
        </w:tc>
        <w:tc>
          <w:tcPr>
            <w:tcW w:type="dxa" w:w="1440"/>
          </w:tcPr>
          <w:p>
            <w:r>
              <w:rPr>
                <w:rFonts w:ascii="Arial" w:hAnsi="Arial"/>
                <w:b/>
                <w:color w:val="156C35"/>
                <w:sz w:val="19"/>
              </w:rPr>
              <w:t>LÅG</w:t>
            </w:r>
          </w:p>
        </w:tc>
        <w:tc>
          <w:tcPr>
            <w:tcW w:type="dxa" w:w="2160"/>
          </w:tcPr>
          <w:p>
            <w:r>
              <w:rPr>
                <w:rFonts w:ascii="Arial" w:hAnsi="Arial"/>
                <w:sz w:val="19"/>
              </w:rPr>
              <w:t>Kvarstår — valfri</w:t>
            </w:r>
          </w:p>
        </w:tc>
      </w:tr>
      <w:tr>
        <w:tc>
          <w:tcPr>
            <w:tcW w:type="dxa" w:w="864"/>
          </w:tcPr>
          <w:p>
            <w:r>
              <w:rPr>
                <w:rFonts w:ascii="Arial" w:hAnsi="Arial"/>
                <w:sz w:val="20"/>
              </w:rPr>
              <w:t>F9</w:t>
            </w:r>
          </w:p>
        </w:tc>
        <w:tc>
          <w:tcPr>
            <w:tcW w:type="dxa" w:w="6192"/>
          </w:tcPr>
          <w:p>
            <w:r>
              <w:rPr>
                <w:rFonts w:ascii="Arial" w:hAnsi="Arial"/>
                <w:sz w:val="19"/>
              </w:rPr>
              <w:t>Inget uttryckligt ställningstagande om automatiserat beslutsfattande (Art. 22).</w:t>
            </w:r>
          </w:p>
        </w:tc>
        <w:tc>
          <w:tcPr>
            <w:tcW w:type="dxa" w:w="1440"/>
          </w:tcPr>
          <w:p>
            <w:r>
              <w:rPr>
                <w:rFonts w:ascii="Arial" w:hAnsi="Arial"/>
                <w:b/>
                <w:color w:val="156C35"/>
                <w:sz w:val="19"/>
              </w:rPr>
              <w:t>LÅG</w:t>
            </w:r>
          </w:p>
        </w:tc>
        <w:tc>
          <w:tcPr>
            <w:tcW w:type="dxa" w:w="2160"/>
          </w:tcPr>
          <w:p>
            <w:r>
              <w:rPr>
                <w:rFonts w:ascii="Arial" w:hAnsi="Arial"/>
                <w:sz w:val="19"/>
              </w:rPr>
              <w:t>Kvarstår — valfri</w:t>
            </w:r>
          </w:p>
        </w:tc>
      </w:tr>
    </w:tbl>
    <w:p>
      <w:r>
        <w:br w:type="page"/>
      </w:r>
    </w:p>
    <w:p>
      <w:pPr>
        <w:pStyle w:val="Heading1"/>
      </w:pPr>
      <w:r>
        <w:rPr>
          <w:rFonts w:ascii="Arial" w:hAnsi="Arial"/>
          <w:color w:val="1B2640"/>
        </w:rPr>
        <w:t>2. Metod och underlag</w:t>
      </w:r>
    </w:p>
    <w:p>
      <w:pPr>
        <w:spacing w:after="160"/>
      </w:pPr>
      <w:r>
        <w:rPr>
          <w:rFonts w:ascii="Arial" w:hAnsi="Arial"/>
          <w:b w:val="0"/>
          <w:i w:val="0"/>
          <w:sz w:val="22"/>
        </w:rPr>
        <w:t>Granskningen baseras på en direkt läsning av produktionskod och infrastruktur, inte enbart den publicerade policytexten:</w:t>
      </w:r>
    </w:p>
    <w:p>
      <w:pPr>
        <w:pStyle w:val="ListBullet"/>
      </w:pPr>
      <w:r>
        <w:rPr>
          <w:rFonts w:ascii="Arial" w:hAnsi="Arial"/>
          <w:sz w:val="22"/>
        </w:rPr>
        <w:t>Fullständig text i src/pages/Privacy.tsx, src/pages/Terms.tsx och src/config/terms.ts (den faktiska policyn som visas för användare).</w:t>
      </w:r>
    </w:p>
    <w:p>
      <w:pPr>
        <w:pStyle w:val="ListBullet"/>
      </w:pPr>
      <w:r>
        <w:rPr>
          <w:rFonts w:ascii="Arial" w:hAnsi="Arial"/>
          <w:sz w:val="22"/>
        </w:rPr>
        <w:t>Databasschema (supabase/migrations/) för att verifiera vilka uppgifter som faktiskt lagras, i vilka tabeller, med vilken lagringslogik (CASCADE-radering, RLS-policyer).</w:t>
      </w:r>
    </w:p>
    <w:p>
      <w:pPr>
        <w:pStyle w:val="ListBullet"/>
      </w:pPr>
      <w:r>
        <w:rPr>
          <w:rFonts w:ascii="Arial" w:hAnsi="Arial"/>
          <w:sz w:val="22"/>
        </w:rPr>
        <w:t>Edge functions (scan-email, send-request, send-reminders, admin-*) för att se exakt vilka externa tjänster som faktiskt tar emot personuppgifter, i vilket format (klartext e-post, inte hash).</w:t>
      </w:r>
    </w:p>
    <w:p>
      <w:pPr>
        <w:pStyle w:val="ListBullet"/>
      </w:pPr>
      <w:r>
        <w:rPr>
          <w:rFonts w:ascii="Arial" w:hAnsi="Arial"/>
          <w:sz w:val="22"/>
        </w:rPr>
        <w:t>Extern research: XposedOrNot’s egen publicerade integritetspolicy (xposedornot.com/privacy), för att bedöma om den tredje parten som BliGlömd skickar användardata till har en egen rättslig grund/GDPR-hållning.</w:t>
      </w:r>
    </w:p>
    <w:p>
      <w:pPr>
        <w:pStyle w:val="ListBullet"/>
      </w:pPr>
      <w:r>
        <w:rPr>
          <w:rFonts w:ascii="Arial" w:hAnsi="Arial"/>
          <w:sz w:val="22"/>
        </w:rPr>
        <w:t>Verifiering av Resend-domänens faktiska verifieringsstatus via Resend API, samt DNS-uppslag mot faktiska DNS-poster för xn--bliglmd-e1a.se (bliglömd.se).</w:t>
      </w:r>
    </w:p>
    <w:p>
      <w:r>
        <w:br w:type="page"/>
      </w:r>
    </w:p>
    <w:p>
      <w:pPr>
        <w:pStyle w:val="Heading1"/>
      </w:pPr>
      <w:r>
        <w:rPr>
          <w:rFonts w:ascii="Arial" w:hAnsi="Arial"/>
          <w:color w:val="1B2640"/>
        </w:rPr>
        <w:t>3. Detaljerade fynd</w:t>
      </w:r>
    </w:p>
    <w:p>
      <w:pPr>
        <w:pStyle w:val="Heading2"/>
      </w:pPr>
      <w:r>
        <w:rPr>
          <w:rFonts w:ascii="Arial" w:hAnsi="Arial"/>
          <w:color w:val="1B2640"/>
        </w:rPr>
        <w:t xml:space="preserve">F1 — Odeklarerat personuppgiftsbiträde — XposedOrNot  </w:t>
      </w:r>
      <w:r>
        <w:rPr>
          <w:rFonts w:ascii="Arial" w:hAnsi="Arial"/>
          <w:color w:val="B91C1C"/>
        </w:rPr>
        <w:t>[HÖG]</w:t>
      </w:r>
    </w:p>
    <w:p>
      <w:pPr>
        <w:spacing w:after="200"/>
      </w:pPr>
      <w:r>
        <w:rPr>
          <w:rFonts w:ascii="Arial" w:hAnsi="Arial"/>
          <w:b w:val="0"/>
          <w:i/>
          <w:color w:val="6B7A99"/>
          <w:sz w:val="20"/>
        </w:rPr>
        <w:t>Status: Kvarstår — affärsbeslut krävs</w:t>
      </w:r>
    </w:p>
    <w:p>
      <w:pPr>
        <w:spacing w:after="160"/>
      </w:pPr>
      <w:r>
        <w:rPr>
          <w:rFonts w:ascii="Arial" w:hAnsi="Arial"/>
          <w:b w:val="0"/>
          <w:i w:val="0"/>
          <w:sz w:val="22"/>
        </w:rPr>
        <w:t>BliGlömds kärnfunktion ("Skärma din e-post") skickar den fullständiga, okrypterade e-postadress som användaren anger direkt till XposedOrNot:s publika API (api.xposedornot.com), för varje skanning — även för anonyma besökare som inte skapat konto (supabase/functions/scan-email/index.ts, rad 39: e-postadressen skickas i klartext som query-parameter).</w:t>
      </w:r>
    </w:p>
    <w:p>
      <w:pPr>
        <w:spacing w:after="160"/>
      </w:pPr>
      <w:r>
        <w:rPr>
          <w:rFonts w:ascii="Arial" w:hAnsi="Arial"/>
          <w:b w:val="0"/>
          <w:i w:val="0"/>
          <w:sz w:val="22"/>
        </w:rPr>
        <w:t>Denna tjänst är INTE listad under avsnitt 4 "Personuppgiftsbiträden" i integritetspolicyn, trots att den de facto tar emot personuppgifter från varje användare av tjänsten. GDPR Art. 13(1)(e) kräver att mottagare av personuppgifter anges, och Art. 28 kräver ett personuppgiftsbiträdesavtal (DPA) med varje biträde.</w:t>
      </w:r>
    </w:p>
    <w:p>
      <w:pPr>
        <w:spacing w:after="160"/>
      </w:pPr>
      <w:r>
        <w:rPr>
          <w:rFonts w:ascii="Arial" w:hAnsi="Arial"/>
          <w:b w:val="0"/>
          <w:i w:val="0"/>
          <w:sz w:val="22"/>
        </w:rPr>
        <w:t>Vid extern granskning (xposedornot.com/privacy, juli 2026) saknar XposedOrNot: uppgift om juridisk enhet och hemvist/jurisdiktion, uppgift om lagringstid för sökta e-postadresser, uttryckligt GDPR-åtagande, och information om internationella överföringsmekanismer (t.ex. standardavtalsklausuler). Det finns med andra ord ingen verifierbar rättslig grund för att BliGlömd överför EU-personuppgifter till denna tjänst.</w:t>
      </w:r>
    </w:p>
    <w:p>
      <w:pPr>
        <w:spacing w:after="80"/>
      </w:pPr>
      <w:r>
        <w:rPr>
          <w:rFonts w:ascii="Arial" w:hAnsi="Arial"/>
          <w:b/>
          <w:i w:val="0"/>
          <w:sz w:val="22"/>
        </w:rPr>
        <w:t>Rekommendation:</w:t>
      </w:r>
    </w:p>
    <w:p>
      <w:pPr>
        <w:spacing w:after="160"/>
      </w:pPr>
      <w:r>
        <w:rPr>
          <w:rFonts w:ascii="Arial" w:hAnsi="Arial"/>
          <w:b w:val="0"/>
          <w:i w:val="0"/>
          <w:sz w:val="22"/>
        </w:rPr>
        <w:t>Detta är den allvarligaste kvarstående punkten och kräver ett beslut, inte bara en textändring:</w:t>
        <w:br/>
        <w:t>(a) Sök en formell DPA med XposedOrNot (kontakt: deva@xposedornot.com) och dokumentera överföringsgrunden, eller</w:t>
        <w:br/>
        <w:t>(b) Byt till en biträdestjänst med tydligt EU/EES-åtagande och publicerad DPA-möjlighet, eller</w:t>
        <w:br/>
        <w:t>(c) Om (a)/(b) inte är genomförbart på kort sikt: lägg till XposedOrNot i biträdeslistan med tydlig disclaimer till användaren om att sökningen sker mot en extern, icke-EU-verifierad tjänst, samt överväg att inte skicka skanningar för icke-inloggade/anonyma besökare tills frågan är löst.</w:t>
      </w:r>
    </w:p>
    <w:p>
      <w:pPr>
        <w:pStyle w:val="Heading2"/>
      </w:pPr>
      <w:r>
        <w:rPr>
          <w:rFonts w:ascii="Arial" w:hAnsi="Arial"/>
          <w:color w:val="1B2640"/>
        </w:rPr>
        <w:t xml:space="preserve">F2 — Kontakt-e-post support@bliglomd.se existerade aldrig  </w:t>
      </w:r>
      <w:r>
        <w:rPr>
          <w:rFonts w:ascii="Arial" w:hAnsi="Arial"/>
          <w:color w:val="B91C1C"/>
        </w:rPr>
        <w:t>[HÖG]</w:t>
      </w:r>
    </w:p>
    <w:p>
      <w:pPr>
        <w:spacing w:after="200"/>
      </w:pPr>
      <w:r>
        <w:rPr>
          <w:rFonts w:ascii="Arial" w:hAnsi="Arial"/>
          <w:b w:val="0"/>
          <w:i/>
          <w:color w:val="6B7A99"/>
          <w:sz w:val="20"/>
        </w:rPr>
        <w:t>Status: ÅTGÄRDAT idag (2026-07-01)</w:t>
      </w:r>
    </w:p>
    <w:p>
      <w:pPr>
        <w:spacing w:after="160"/>
      </w:pPr>
      <w:r>
        <w:rPr>
          <w:rFonts w:ascii="Arial" w:hAnsi="Arial"/>
          <w:b w:val="0"/>
          <w:i w:val="0"/>
          <w:sz w:val="22"/>
        </w:rPr>
        <w:t>Integritetspolicyn och Köpavtalet angav genomgående support@bliglomd.se som kontaktadress för dataskyddsfrågor och utövande av registrerades rättigheter. Denna adress använder fel domän — BliGlömd äger bliglömd.se (med ö), inte den rena ASCII-domänen bliglomd.se. Adressen har därför sannolikt aldrig kunnat ta emot e-post.</w:t>
      </w:r>
    </w:p>
    <w:p>
      <w:pPr>
        <w:spacing w:after="160"/>
      </w:pPr>
      <w:r>
        <w:rPr>
          <w:rFonts w:ascii="Arial" w:hAnsi="Arial"/>
          <w:b w:val="0"/>
          <w:i w:val="0"/>
          <w:sz w:val="22"/>
        </w:rPr>
        <w:t>GDPR Art. 12 kräver att information ska vara "lättillgänglig" och att registrerade kan utöva sina rättigheter i praktiken — en obrukbar kontaktväg strider mot denna princip, oavsett hur korrekt resterande text är.</w:t>
      </w:r>
    </w:p>
    <w:p>
      <w:pPr>
        <w:spacing w:after="80"/>
      </w:pPr>
      <w:r>
        <w:rPr>
          <w:rFonts w:ascii="Arial" w:hAnsi="Arial"/>
          <w:b/>
          <w:i w:val="0"/>
          <w:sz w:val="22"/>
        </w:rPr>
        <w:t>Rekommendation:</w:t>
      </w:r>
    </w:p>
    <w:p>
      <w:pPr>
        <w:spacing w:after="160"/>
      </w:pPr>
      <w:r>
        <w:rPr>
          <w:rFonts w:ascii="Arial" w:hAnsi="Arial"/>
          <w:b w:val="0"/>
          <w:i w:val="0"/>
          <w:sz w:val="22"/>
        </w:rPr>
        <w:t>Åtgärdat: samtliga förekomster ersatta med kontakt@bliglömd.se i Privacy.tsx, Terms.tsx, config/terms.ts samt i databasens samtyckessnapshot (migration 012). Kräver fortfarande att kontakt@ faktiskt läggs upp som mottagande adress i iCloud-domäninställningarna — se avsnitt 5.</w:t>
      </w:r>
    </w:p>
    <w:p>
      <w:pPr>
        <w:pStyle w:val="Heading2"/>
      </w:pPr>
      <w:r>
        <w:rPr>
          <w:rFonts w:ascii="Arial" w:hAnsi="Arial"/>
          <w:color w:val="1B2640"/>
        </w:rPr>
        <w:t xml:space="preserve">F3 — Resend-avsändardomän felkonfigurerad — risk för hela tjänstens kärnleverans  </w:t>
      </w:r>
      <w:r>
        <w:rPr>
          <w:rFonts w:ascii="Arial" w:hAnsi="Arial"/>
          <w:color w:val="B91C1C"/>
        </w:rPr>
        <w:t>[HÖG]</w:t>
      </w:r>
    </w:p>
    <w:p>
      <w:pPr>
        <w:spacing w:after="200"/>
      </w:pPr>
      <w:r>
        <w:rPr>
          <w:rFonts w:ascii="Arial" w:hAnsi="Arial"/>
          <w:b w:val="0"/>
          <w:i/>
          <w:color w:val="6B7A99"/>
          <w:sz w:val="20"/>
        </w:rPr>
        <w:t>Status: Kod ÅTGÄRDAT idag — DNS-post kvarstår (manuellt)</w:t>
      </w:r>
    </w:p>
    <w:p>
      <w:pPr>
        <w:spacing w:after="160"/>
      </w:pPr>
      <w:r>
        <w:rPr>
          <w:rFonts w:ascii="Arial" w:hAnsi="Arial"/>
          <w:b w:val="0"/>
          <w:i w:val="0"/>
          <w:sz w:val="22"/>
        </w:rPr>
        <w:t>Samtliga utgående transaktionsmejl (inklusive send-request, som skickar de faktiska GDPR-raderings­förfrågningarna till bolag å kundens vägnar — tjänstens huvudsakliga löfte) angav avsändaradress noreply@bliglomd.se. Denna domän var aldrig tillagd i Resend-kontot över huvud taget — endast xn--bliglmd-e1a.se (bliglömd.se) är registrerad, och den domänens status visar "failed" i Resend på grund av en saknad MX-post (send.xn--bliglmd-e1a.se → feedback-smtp.us-east-1.amazonses.com) i DNS hos Strato.</w:t>
      </w:r>
    </w:p>
    <w:p>
      <w:pPr>
        <w:spacing w:after="160"/>
      </w:pPr>
      <w:r>
        <w:rPr>
          <w:rFonts w:ascii="Arial" w:hAnsi="Arial"/>
          <w:b w:val="0"/>
          <w:i w:val="0"/>
          <w:sz w:val="22"/>
        </w:rPr>
        <w:t>Konsekvensen: om detta inte fångats hade kunder kunnat betala för en tjänst vars kärnleverans (att raderingsförfrågan faktiskt skickas till bolaget) tyst misslyckades — ett potentiellt konsumenträttsligt och avtalsrättsligt problem utöver dataskyddsfrågan.</w:t>
      </w:r>
    </w:p>
    <w:p>
      <w:pPr>
        <w:spacing w:after="80"/>
      </w:pPr>
      <w:r>
        <w:rPr>
          <w:rFonts w:ascii="Arial" w:hAnsi="Arial"/>
          <w:b/>
          <w:i w:val="0"/>
          <w:sz w:val="22"/>
        </w:rPr>
        <w:t>Rekommendation:</w:t>
      </w:r>
    </w:p>
    <w:p>
      <w:pPr>
        <w:spacing w:after="160"/>
      </w:pPr>
      <w:r>
        <w:rPr>
          <w:rFonts w:ascii="Arial" w:hAnsi="Arial"/>
          <w:b w:val="0"/>
          <w:i w:val="0"/>
          <w:sz w:val="22"/>
        </w:rPr>
        <w:t>Kodfix genomförd (avsändaradress ändrad till noreply@xn--bliglmd-e1a.se i alla fyra edge functions som skickar e-post). Kvarstår: lägg till MX-posten hos Strato DNS för att domänen ska gå från "failed" till "verified" i Resend — utan denna åtgärd fortsätter e-post sannolikt att studsa.</w:t>
      </w:r>
    </w:p>
    <w:p>
      <w:pPr>
        <w:pStyle w:val="Heading2"/>
      </w:pPr>
      <w:r>
        <w:rPr>
          <w:rFonts w:ascii="Arial" w:hAnsi="Arial"/>
          <w:color w:val="1B2640"/>
        </w:rPr>
        <w:t xml:space="preserve">F4 — Vag beskrivning av internationell överföring (Stripe, Resend)  </w:t>
      </w:r>
      <w:r>
        <w:rPr>
          <w:rFonts w:ascii="Arial" w:hAnsi="Arial"/>
          <w:color w:val="92400E"/>
        </w:rPr>
        <w:t>[MEDEL]</w:t>
      </w:r>
    </w:p>
    <w:p>
      <w:pPr>
        <w:spacing w:after="200"/>
      </w:pPr>
      <w:r>
        <w:rPr>
          <w:rFonts w:ascii="Arial" w:hAnsi="Arial"/>
          <w:b w:val="0"/>
          <w:i/>
          <w:color w:val="6B7A99"/>
          <w:sz w:val="20"/>
        </w:rPr>
        <w:t>Status: Kvarstår</w:t>
      </w:r>
    </w:p>
    <w:p>
      <w:pPr>
        <w:spacing w:after="160"/>
      </w:pPr>
      <w:r>
        <w:rPr>
          <w:rFonts w:ascii="Arial" w:hAnsi="Arial"/>
          <w:b w:val="0"/>
          <w:i w:val="0"/>
          <w:sz w:val="22"/>
        </w:rPr>
        <w:t>Policyn anger "EU-datahantering" för Stripe Inc. och Resend Inc. Båda är amerikanska bolag med globala moderorganisationer. Att enbart skriva "EU-datahantering" uppfyller inte kraven i GDPR kapitel V (Art. 44–49) efter Schrems II — det måste framgå VILKEN överföringsmekanism som faktiskt används (t.ex. standardavtalsklausuler, eller att behandlingen sker uteslutande inom EU-baserad infrastruktur).</w:t>
      </w:r>
    </w:p>
    <w:p>
      <w:pPr>
        <w:spacing w:after="160"/>
        <w:ind w:left="504"/>
      </w:pPr>
      <w:r>
        <w:rPr>
          <w:rFonts w:ascii="Arial" w:hAnsi="Arial"/>
          <w:i/>
          <w:color w:val="6B7A99"/>
          <w:sz w:val="21"/>
        </w:rPr>
        <w:t>"Stripe Inc. (betalningshantering, EU-datahantering). [...] Resend Inc. (transaktionell e-post, EU-datahantering)."</w:t>
      </w:r>
    </w:p>
    <w:p>
      <w:pPr>
        <w:spacing w:after="80"/>
      </w:pPr>
      <w:r>
        <w:rPr>
          <w:rFonts w:ascii="Arial" w:hAnsi="Arial"/>
          <w:b/>
          <w:i w:val="0"/>
          <w:sz w:val="22"/>
        </w:rPr>
        <w:t>Rekommendation:</w:t>
      </w:r>
    </w:p>
    <w:p>
      <w:pPr>
        <w:spacing w:after="160"/>
      </w:pPr>
      <w:r>
        <w:rPr>
          <w:rFonts w:ascii="Arial" w:hAnsi="Arial"/>
          <w:b w:val="0"/>
          <w:i w:val="0"/>
          <w:sz w:val="22"/>
        </w:rPr>
        <w:t>Precisera per biträde vilken laglig grund som gäller för eventuell överföring till USA (SCC, adequacy-beslut, eller ren EU-databehandling utan överföring), efter att ha verifierat detta i respektive bolags egna Data Processing Addendum.</w:t>
      </w:r>
    </w:p>
    <w:p>
      <w:pPr>
        <w:pStyle w:val="Heading2"/>
      </w:pPr>
      <w:r>
        <w:rPr>
          <w:rFonts w:ascii="Arial" w:hAnsi="Arial"/>
          <w:color w:val="1B2640"/>
        </w:rPr>
        <w:t xml:space="preserve">F5 — Skanning av tredje parts (icke-kunders) personuppgifter  </w:t>
      </w:r>
      <w:r>
        <w:rPr>
          <w:rFonts w:ascii="Arial" w:hAnsi="Arial"/>
          <w:color w:val="92400E"/>
        </w:rPr>
        <w:t>[MEDEL]</w:t>
      </w:r>
    </w:p>
    <w:p>
      <w:pPr>
        <w:spacing w:after="200"/>
      </w:pPr>
      <w:r>
        <w:rPr>
          <w:rFonts w:ascii="Arial" w:hAnsi="Arial"/>
          <w:b w:val="0"/>
          <w:i/>
          <w:color w:val="6B7A99"/>
          <w:sz w:val="20"/>
        </w:rPr>
        <w:t>Status: Kvarstår</w:t>
      </w:r>
    </w:p>
    <w:p>
      <w:pPr>
        <w:spacing w:after="160"/>
      </w:pPr>
      <w:r>
        <w:rPr>
          <w:rFonts w:ascii="Arial" w:hAnsi="Arial"/>
          <w:b w:val="0"/>
          <w:i w:val="0"/>
          <w:sz w:val="22"/>
        </w:rPr>
        <w:t>Skanningsfunktionen tillåter att vilken e-postadress som helst matas in — inte nödvändigtvis kundens egen. Detta innebär att BliGlömd (och XposedOrNot, se F1) i praktiken kan behandla personuppgifter om personer som aldrig ingått något avtal med, eller ens känner till, BliGlömd. Policyn är uteslutande skriven ur "Kundens" perspektiv och adresserar inte denna situation.</w:t>
      </w:r>
    </w:p>
    <w:p>
      <w:pPr>
        <w:spacing w:after="160"/>
      </w:pPr>
      <w:r>
        <w:rPr>
          <w:rFonts w:ascii="Arial" w:hAnsi="Arial"/>
          <w:b w:val="0"/>
          <w:i w:val="0"/>
          <w:sz w:val="22"/>
        </w:rPr>
        <w:t>Detta är sannolikt försvarbart under Art. 6(1)(f) (berättigat intresse — t.ex. att kontrollera en anhörigs exponering), men bör avgränsas uttryckligen snarare än lämnas oreglerat.</w:t>
      </w:r>
    </w:p>
    <w:p>
      <w:pPr>
        <w:spacing w:after="80"/>
      </w:pPr>
      <w:r>
        <w:rPr>
          <w:rFonts w:ascii="Arial" w:hAnsi="Arial"/>
          <w:b/>
          <w:i w:val="0"/>
          <w:sz w:val="22"/>
        </w:rPr>
        <w:t>Rekommendation:</w:t>
      </w:r>
    </w:p>
    <w:p>
      <w:pPr>
        <w:spacing w:after="160"/>
      </w:pPr>
      <w:r>
        <w:rPr>
          <w:rFonts w:ascii="Arial" w:hAnsi="Arial"/>
          <w:b w:val="0"/>
          <w:i w:val="0"/>
          <w:sz w:val="22"/>
        </w:rPr>
        <w:t>Lägg till en kort skrivning om att tjänsten endast ska användas för att skanna e-postadresser som användaren har rätt att kontrollera å den registrerades vägnar (t.ex. egna eller en familjemedlems, med samtycke), samt en not om att sådana skanningar inte lagras permanent om användaren inte är inloggad (vilket redan är fallet tekniskt, se scans-tabellen).</w:t>
      </w:r>
    </w:p>
    <w:p>
      <w:pPr>
        <w:pStyle w:val="Heading2"/>
      </w:pPr>
      <w:r>
        <w:rPr>
          <w:rFonts w:ascii="Arial" w:hAnsi="Arial"/>
          <w:color w:val="1B2640"/>
        </w:rPr>
        <w:t xml:space="preserve">F6 — Oprecis lagringstid enligt Bokföringslagen  </w:t>
      </w:r>
      <w:r>
        <w:rPr>
          <w:rFonts w:ascii="Arial" w:hAnsi="Arial"/>
          <w:color w:val="156C35"/>
        </w:rPr>
        <w:t>[LÅG]</w:t>
      </w:r>
    </w:p>
    <w:p>
      <w:pPr>
        <w:spacing w:after="200"/>
      </w:pPr>
      <w:r>
        <w:rPr>
          <w:rFonts w:ascii="Arial" w:hAnsi="Arial"/>
          <w:b w:val="0"/>
          <w:i/>
          <w:color w:val="6B7A99"/>
          <w:sz w:val="20"/>
        </w:rPr>
        <w:t>Status: Kvarstår — enkel textfix</w:t>
      </w:r>
    </w:p>
    <w:p>
      <w:pPr>
        <w:spacing w:after="160"/>
      </w:pPr>
      <w:r>
        <w:rPr>
          <w:rFonts w:ascii="Arial" w:hAnsi="Arial"/>
          <w:b w:val="0"/>
          <w:i w:val="0"/>
          <w:sz w:val="22"/>
        </w:rPr>
        <w:t>Policyn anger "7 år" för betalnings- och bokföringsunderlag. Bokföringslagen (1999:1078) 7 kap. 2 § räknar arkiveringstiden från utgången av det kalenderår då räkenskapsåret avslutades — vilket i praktiken kan innebära nästan 8 års lagring beroende på när under året transaktionen skedde. Nuvarande formulering riskerar att läsas som exakt 7 år från transaktionsdatumet.</w:t>
      </w:r>
    </w:p>
    <w:p>
      <w:pPr>
        <w:spacing w:after="80"/>
      </w:pPr>
      <w:r>
        <w:rPr>
          <w:rFonts w:ascii="Arial" w:hAnsi="Arial"/>
          <w:b/>
          <w:i w:val="0"/>
          <w:sz w:val="21"/>
        </w:rPr>
        <w:t>Föreslagen text (kräver juridisk granskning innan publicering):</w:t>
      </w:r>
    </w:p>
    <w:p>
      <w:pPr>
        <w:spacing w:after="160"/>
        <w:ind w:left="504"/>
      </w:pPr>
      <w:r>
        <w:rPr>
          <w:rFonts w:ascii="Arial" w:hAnsi="Arial"/>
          <w:i/>
          <w:color w:val="6B7A99"/>
          <w:sz w:val="21"/>
        </w:rPr>
        <w:t>"Betalnings- och bokföringsunderlag: 7 år, räknat från utgången av det kalenderår då räkenskapsåret avslutades, enligt Bokföringslagen (1999:1078) 7 kap. 2 §."</w:t>
      </w:r>
    </w:p>
    <w:p>
      <w:pPr>
        <w:pStyle w:val="Heading2"/>
      </w:pPr>
      <w:r>
        <w:rPr>
          <w:rFonts w:ascii="Arial" w:hAnsi="Arial"/>
          <w:color w:val="1B2640"/>
        </w:rPr>
        <w:t xml:space="preserve">F7 — "Kakor"-avsnittet beskriver fel teknik  </w:t>
      </w:r>
      <w:r>
        <w:rPr>
          <w:rFonts w:ascii="Arial" w:hAnsi="Arial"/>
          <w:color w:val="156C35"/>
        </w:rPr>
        <w:t>[LÅG]</w:t>
      </w:r>
    </w:p>
    <w:p>
      <w:pPr>
        <w:spacing w:after="200"/>
      </w:pPr>
      <w:r>
        <w:rPr>
          <w:rFonts w:ascii="Arial" w:hAnsi="Arial"/>
          <w:b w:val="0"/>
          <w:i/>
          <w:color w:val="6B7A99"/>
          <w:sz w:val="20"/>
        </w:rPr>
        <w:t>Status: Kvarstår — enkel textfix</w:t>
      </w:r>
    </w:p>
    <w:p>
      <w:pPr>
        <w:spacing w:after="160"/>
      </w:pPr>
      <w:r>
        <w:rPr>
          <w:rFonts w:ascii="Arial" w:hAnsi="Arial"/>
          <w:b w:val="0"/>
          <w:i w:val="0"/>
          <w:sz w:val="22"/>
        </w:rPr>
        <w:t>Policyn beskriver Supabase-sessionen som en "sessionscookie". Vid granskning av src/lib/supabase.ts använder Supabase-klienten sitt standardbeteende (persistSession: true utan explicit storage-konfiguration) — vilket i webbläsare innebär localStorage, inte en HTTP-cookie. Den rättsliga slutsatsen (inget samtycke krävs för strikt nödvändig lagring) håller sannolikt fortfarande enligt LEK, som omfattar "cookies och liknande tekniker", men det är en faktisk felaktighet i ett bindande dokument.</w:t>
      </w:r>
    </w:p>
    <w:p>
      <w:pPr>
        <w:spacing w:after="80"/>
      </w:pPr>
      <w:r>
        <w:rPr>
          <w:rFonts w:ascii="Arial" w:hAnsi="Arial"/>
          <w:b/>
          <w:i w:val="0"/>
          <w:sz w:val="21"/>
        </w:rPr>
        <w:t>Föreslagen text (kräver juridisk granskning innan publicering):</w:t>
      </w:r>
    </w:p>
    <w:p>
      <w:pPr>
        <w:spacing w:after="160"/>
        <w:ind w:left="504"/>
      </w:pPr>
      <w:r>
        <w:rPr>
          <w:rFonts w:ascii="Arial" w:hAnsi="Arial"/>
          <w:i/>
          <w:color w:val="6B7A99"/>
          <w:sz w:val="21"/>
        </w:rPr>
        <w:t>"BliGlömd använder strikt nödvändig lokal lagring (localStorage) som sätts av Supabase för autentisering, samt en session-cookie för själva inloggningen. Denna lagring krävs för att tjänsten ska fungera och kräver inte samtycke enligt Lagen om elektronisk kommunikation (LEK), eftersom den är nödvändig för att tillhandahålla den tjänst du uttryckligen begärt."</w:t>
      </w:r>
    </w:p>
    <w:p>
      <w:pPr>
        <w:pStyle w:val="Heading2"/>
      </w:pPr>
      <w:r>
        <w:rPr>
          <w:rFonts w:ascii="Arial" w:hAnsi="Arial"/>
          <w:color w:val="1B2640"/>
        </w:rPr>
        <w:t xml:space="preserve">F8 — Ingen åldersgräns/minderårig-skrivning  </w:t>
      </w:r>
      <w:r>
        <w:rPr>
          <w:rFonts w:ascii="Arial" w:hAnsi="Arial"/>
          <w:color w:val="156C35"/>
        </w:rPr>
        <w:t>[LÅG]</w:t>
      </w:r>
    </w:p>
    <w:p>
      <w:pPr>
        <w:spacing w:after="200"/>
      </w:pPr>
      <w:r>
        <w:rPr>
          <w:rFonts w:ascii="Arial" w:hAnsi="Arial"/>
          <w:b w:val="0"/>
          <w:i/>
          <w:color w:val="6B7A99"/>
          <w:sz w:val="20"/>
        </w:rPr>
        <w:t>Status: Kvarstår — valfri förstärkning</w:t>
      </w:r>
    </w:p>
    <w:p>
      <w:pPr>
        <w:spacing w:after="160"/>
      </w:pPr>
      <w:r>
        <w:rPr>
          <w:rFonts w:ascii="Arial" w:hAnsi="Arial"/>
          <w:b w:val="0"/>
          <w:i w:val="0"/>
          <w:sz w:val="22"/>
        </w:rPr>
        <w:t>Varken kontoregistrering eller integritetspolicyn nämner en åldersgräns. Tjänsten är avtalsbaserad (inte samtyckesbaserad i GDPR Art. 8:s mening), så det finns ingen strikt rättslig skyldighet, men det är god praxis att ange en åldersgräns givet att tjänsten hanterar juridiskt bindande köpavtal.</w:t>
      </w:r>
    </w:p>
    <w:p>
      <w:pPr>
        <w:spacing w:after="80"/>
      </w:pPr>
      <w:r>
        <w:rPr>
          <w:rFonts w:ascii="Arial" w:hAnsi="Arial"/>
          <w:b/>
          <w:i w:val="0"/>
          <w:sz w:val="22"/>
        </w:rPr>
        <w:t>Rekommendation:</w:t>
      </w:r>
    </w:p>
    <w:p>
      <w:pPr>
        <w:spacing w:after="160"/>
      </w:pPr>
      <w:r>
        <w:rPr>
          <w:rFonts w:ascii="Arial" w:hAnsi="Arial"/>
          <w:b w:val="0"/>
          <w:i w:val="0"/>
          <w:sz w:val="22"/>
        </w:rPr>
        <w:t>Överväg en enkel rad: "Tjänsten riktar sig till personer som fyllt 18 år." i Köpavtalet.</w:t>
      </w:r>
    </w:p>
    <w:p>
      <w:pPr>
        <w:pStyle w:val="Heading2"/>
      </w:pPr>
      <w:r>
        <w:rPr>
          <w:rFonts w:ascii="Arial" w:hAnsi="Arial"/>
          <w:color w:val="1B2640"/>
        </w:rPr>
        <w:t xml:space="preserve">F9 — Inget ställningstagande om automatiserat beslutsfattande  </w:t>
      </w:r>
      <w:r>
        <w:rPr>
          <w:rFonts w:ascii="Arial" w:hAnsi="Arial"/>
          <w:color w:val="156C35"/>
        </w:rPr>
        <w:t>[LÅG]</w:t>
      </w:r>
    </w:p>
    <w:p>
      <w:pPr>
        <w:spacing w:after="200"/>
      </w:pPr>
      <w:r>
        <w:rPr>
          <w:rFonts w:ascii="Arial" w:hAnsi="Arial"/>
          <w:b w:val="0"/>
          <w:i/>
          <w:color w:val="6B7A99"/>
          <w:sz w:val="20"/>
        </w:rPr>
        <w:t>Status: Kvarstår — valfri förstärkning</w:t>
      </w:r>
    </w:p>
    <w:p>
      <w:pPr>
        <w:spacing w:after="160"/>
      </w:pPr>
      <w:r>
        <w:rPr>
          <w:rFonts w:ascii="Arial" w:hAnsi="Arial"/>
          <w:b w:val="0"/>
          <w:i w:val="0"/>
          <w:sz w:val="22"/>
        </w:rPr>
        <w:t>GDPR Art. 22 kräver information om automatiserat beslutsfattande med rättslig eller motsvarande betydande effekt. BliGlömds automatiska utskick av raderingsförfrågningar fattar inget beslut OM eller FÖR kunden i Art. 22:s mening (det är en administrativ handling på kundens uppdrag), så detta är sannolikt inte tillämpligt. En kort bekräftande mening stänger ändå frågan defensivt.</w:t>
      </w:r>
    </w:p>
    <w:p>
      <w:pPr>
        <w:spacing w:after="80"/>
      </w:pPr>
      <w:r>
        <w:rPr>
          <w:rFonts w:ascii="Arial" w:hAnsi="Arial"/>
          <w:b/>
          <w:i w:val="0"/>
          <w:sz w:val="22"/>
        </w:rPr>
        <w:t>Rekommendation:</w:t>
      </w:r>
    </w:p>
    <w:p>
      <w:pPr>
        <w:spacing w:after="160"/>
      </w:pPr>
      <w:r>
        <w:rPr>
          <w:rFonts w:ascii="Arial" w:hAnsi="Arial"/>
          <w:b w:val="0"/>
          <w:i w:val="0"/>
          <w:sz w:val="22"/>
        </w:rPr>
        <w:t>Valfritt: "BliGlömd använder inget automatiserat beslutsfattande som har rättsliga eller liknande betydande effekter för dig."</w:t>
      </w:r>
    </w:p>
    <w:p>
      <w:r>
        <w:br w:type="page"/>
      </w:r>
    </w:p>
    <w:p>
      <w:pPr>
        <w:pStyle w:val="Heading1"/>
      </w:pPr>
      <w:r>
        <w:rPr>
          <w:rFonts w:ascii="Arial" w:hAnsi="Arial"/>
          <w:color w:val="1B2640"/>
        </w:rPr>
        <w:t>4. Vad som redan fungerar bra</w:t>
      </w:r>
    </w:p>
    <w:p>
      <w:pPr>
        <w:spacing w:after="160"/>
      </w:pPr>
      <w:r>
        <w:rPr>
          <w:rFonts w:ascii="Arial" w:hAnsi="Arial"/>
          <w:b w:val="0"/>
          <w:i w:val="0"/>
          <w:sz w:val="22"/>
        </w:rPr>
        <w:t>Granskningen ska inte enbart fokusera på brister. Följande delar av policyn är korrekt utformade:</w:t>
      </w:r>
    </w:p>
    <w:p>
      <w:pPr>
        <w:pStyle w:val="ListBullet"/>
      </w:pPr>
      <w:r>
        <w:rPr>
          <w:rFonts w:ascii="Arial" w:hAnsi="Arial"/>
          <w:sz w:val="22"/>
        </w:rPr>
        <w:t>Rättslig grund per behandlingsändamål (avsnitt 3) är korrekt kopplad till specifika GDPR-artiklar (6(1)(b), (c), (f)).</w:t>
      </w:r>
    </w:p>
    <w:p>
      <w:pPr>
        <w:pStyle w:val="ListBullet"/>
      </w:pPr>
      <w:r>
        <w:rPr>
          <w:rFonts w:ascii="Arial" w:hAnsi="Arial"/>
          <w:sz w:val="22"/>
        </w:rPr>
        <w:t>Lagringstider är i stort sett angivna per datakategori, inte bara en generell siffra.</w:t>
      </w:r>
    </w:p>
    <w:p>
      <w:pPr>
        <w:pStyle w:val="ListBullet"/>
      </w:pPr>
      <w:r>
        <w:rPr>
          <w:rFonts w:ascii="Arial" w:hAnsi="Arial"/>
          <w:sz w:val="22"/>
        </w:rPr>
        <w:t>De registrerades rättigheter (avsnitt 6) är korrekt uppräknade, inklusive rätten att klaga till rätt tillsynsmyndighet (IMY) med korrekt länk.</w:t>
      </w:r>
    </w:p>
    <w:p>
      <w:pPr>
        <w:pStyle w:val="ListBullet"/>
      </w:pPr>
      <w:r>
        <w:rPr>
          <w:rFonts w:ascii="Arial" w:hAnsi="Arial"/>
          <w:sz w:val="22"/>
        </w:rPr>
        <w:t>Cookie-hanteringen (bortsett från den tekniska F7-felaktigheten) är i praktiken korrekt: endast strikt nödvändig lagring, inga spårnings- eller annonscookies — verifierat genom att söka igenom hela frontend-koden efter analysskript (inga hittades).</w:t>
      </w:r>
    </w:p>
    <w:p>
      <w:pPr>
        <w:pStyle w:val="ListBullet"/>
      </w:pPr>
      <w:r>
        <w:rPr>
          <w:rFonts w:ascii="Arial" w:hAnsi="Arial"/>
          <w:sz w:val="22"/>
        </w:rPr>
        <w:t>Radering vid kontoborttagning är tekniskt implementerad via CASCADE-relationer i databasen, inte bara utlovad i text — policyns påstående "raderas när du raderar ditt konto" stämmer med den faktiska databasstrukturen.</w:t>
      </w:r>
    </w:p>
    <w:p>
      <w:pPr>
        <w:pStyle w:val="ListBullet"/>
      </w:pPr>
      <w:r>
        <w:rPr>
          <w:rFonts w:ascii="Arial" w:hAnsi="Arial"/>
          <w:sz w:val="22"/>
        </w:rPr>
        <w:t>Betalningsdata hanteras korrekt uteslutande av Stripe utan att kortuppgifter någonsin passerar BliGlömds egna system.</w:t>
      </w:r>
    </w:p>
    <w:p>
      <w:r>
        <w:br w:type="page"/>
      </w:r>
    </w:p>
    <w:p>
      <w:pPr>
        <w:pStyle w:val="Heading1"/>
      </w:pPr>
      <w:r>
        <w:rPr>
          <w:rFonts w:ascii="Arial" w:hAnsi="Arial"/>
          <w:color w:val="1B2640"/>
        </w:rPr>
        <w:t>5. Kvarstående åtgärder och ansvarsfördelning</w:t>
      </w:r>
    </w:p>
    <w:tbl>
      <w:tblPr>
        <w:tblW w:type="auto" w:w="0"/>
        <w:tblLook w:firstColumn="1" w:firstRow="1" w:lastColumn="0" w:lastRow="0" w:noHBand="0" w:noVBand="1" w:val="04A0"/>
      </w:tblPr>
      <w:tblGrid>
        <w:gridCol w:w="3120"/>
        <w:gridCol w:w="3120"/>
        <w:gridCol w:w="3120"/>
      </w:tblGrid>
      <w:tr>
        <w:tc>
          <w:tcPr>
            <w:tcW w:type="dxa" w:w="5184"/>
            <w:shd w:val="clear" w:color="auto" w:fill="1E3A8A"/>
          </w:tcPr>
          <w:p>
            <w:r>
              <w:rPr>
                <w:rFonts w:ascii="Arial" w:hAnsi="Arial"/>
                <w:b/>
                <w:color w:val="FFFFFF"/>
                <w:sz w:val="20"/>
              </w:rPr>
              <w:t>Åtgärd</w:t>
            </w:r>
          </w:p>
        </w:tc>
        <w:tc>
          <w:tcPr>
            <w:tcW w:type="dxa" w:w="2304"/>
            <w:shd w:val="clear" w:color="auto" w:fill="1E3A8A"/>
          </w:tcPr>
          <w:p>
            <w:r>
              <w:rPr>
                <w:rFonts w:ascii="Arial" w:hAnsi="Arial"/>
                <w:b/>
                <w:color w:val="FFFFFF"/>
                <w:sz w:val="20"/>
              </w:rPr>
              <w:t>Typ</w:t>
            </w:r>
          </w:p>
        </w:tc>
        <w:tc>
          <w:tcPr>
            <w:tcW w:type="dxa" w:w="1728"/>
            <w:shd w:val="clear" w:color="auto" w:fill="1E3A8A"/>
          </w:tcPr>
          <w:p>
            <w:r>
              <w:rPr>
                <w:rFonts w:ascii="Arial" w:hAnsi="Arial"/>
                <w:b/>
                <w:color w:val="FFFFFF"/>
                <w:sz w:val="20"/>
              </w:rPr>
              <w:t>Prioritet</w:t>
            </w:r>
          </w:p>
        </w:tc>
      </w:tr>
      <w:tr>
        <w:tc>
          <w:tcPr>
            <w:tcW w:type="dxa" w:w="5184"/>
          </w:tcPr>
          <w:p>
            <w:r>
              <w:rPr>
                <w:rFonts w:ascii="Arial" w:hAnsi="Arial"/>
                <w:sz w:val="19"/>
              </w:rPr>
              <w:t>Besluta hur XposedOrNot-frågan (F1) ska hanteras — DPA, byte av tjänst, eller disclaimer</w:t>
            </w:r>
          </w:p>
        </w:tc>
        <w:tc>
          <w:tcPr>
            <w:tcW w:type="dxa" w:w="2304"/>
          </w:tcPr>
          <w:p>
            <w:r>
              <w:rPr>
                <w:rFonts w:ascii="Arial" w:hAnsi="Arial"/>
                <w:sz w:val="19"/>
              </w:rPr>
              <w:t>Affärsbeslut</w:t>
            </w:r>
          </w:p>
        </w:tc>
        <w:tc>
          <w:tcPr>
            <w:tcW w:type="dxa" w:w="1728"/>
          </w:tcPr>
          <w:p>
            <w:r>
              <w:rPr>
                <w:rFonts w:ascii="Arial" w:hAnsi="Arial"/>
                <w:b/>
                <w:color w:val="B91C1C"/>
                <w:sz w:val="19"/>
              </w:rPr>
              <w:t>Hög</w:t>
            </w:r>
          </w:p>
        </w:tc>
      </w:tr>
      <w:tr>
        <w:tc>
          <w:tcPr>
            <w:tcW w:type="dxa" w:w="5184"/>
          </w:tcPr>
          <w:p>
            <w:r>
              <w:rPr>
                <w:rFonts w:ascii="Arial" w:hAnsi="Arial"/>
                <w:sz w:val="19"/>
              </w:rPr>
              <w:t>Lägga till MX-post för send.xn--bliglmd-e1a.se hos Strato DNS</w:t>
            </w:r>
          </w:p>
        </w:tc>
        <w:tc>
          <w:tcPr>
            <w:tcW w:type="dxa" w:w="2304"/>
          </w:tcPr>
          <w:p>
            <w:r>
              <w:rPr>
                <w:rFonts w:ascii="Arial" w:hAnsi="Arial"/>
                <w:sz w:val="19"/>
              </w:rPr>
              <w:t>Manuell DNS-åtgärd</w:t>
            </w:r>
          </w:p>
        </w:tc>
        <w:tc>
          <w:tcPr>
            <w:tcW w:type="dxa" w:w="1728"/>
          </w:tcPr>
          <w:p>
            <w:r>
              <w:rPr>
                <w:rFonts w:ascii="Arial" w:hAnsi="Arial"/>
                <w:b/>
                <w:color w:val="B91C1C"/>
                <w:sz w:val="19"/>
              </w:rPr>
              <w:t>Hög</w:t>
            </w:r>
          </w:p>
        </w:tc>
      </w:tr>
      <w:tr>
        <w:tc>
          <w:tcPr>
            <w:tcW w:type="dxa" w:w="5184"/>
          </w:tcPr>
          <w:p>
            <w:r>
              <w:rPr>
                <w:rFonts w:ascii="Arial" w:hAnsi="Arial"/>
                <w:sz w:val="19"/>
              </w:rPr>
              <w:t>Lägga till kontakt@ som mottagande adress i iCloud-domäninställningar</w:t>
            </w:r>
          </w:p>
        </w:tc>
        <w:tc>
          <w:tcPr>
            <w:tcW w:type="dxa" w:w="2304"/>
          </w:tcPr>
          <w:p>
            <w:r>
              <w:rPr>
                <w:rFonts w:ascii="Arial" w:hAnsi="Arial"/>
                <w:sz w:val="19"/>
              </w:rPr>
              <w:t>Manuell åtgärd</w:t>
            </w:r>
          </w:p>
        </w:tc>
        <w:tc>
          <w:tcPr>
            <w:tcW w:type="dxa" w:w="1728"/>
          </w:tcPr>
          <w:p>
            <w:r>
              <w:rPr>
                <w:rFonts w:ascii="Arial" w:hAnsi="Arial"/>
                <w:b/>
                <w:color w:val="B91C1C"/>
                <w:sz w:val="19"/>
              </w:rPr>
              <w:t>Hög</w:t>
            </w:r>
          </w:p>
        </w:tc>
      </w:tr>
      <w:tr>
        <w:tc>
          <w:tcPr>
            <w:tcW w:type="dxa" w:w="5184"/>
          </w:tcPr>
          <w:p>
            <w:r>
              <w:rPr>
                <w:rFonts w:ascii="Arial" w:hAnsi="Arial"/>
                <w:sz w:val="19"/>
              </w:rPr>
              <w:t>Precisera internationell överföring för Stripe/Resend (F4)</w:t>
            </w:r>
          </w:p>
        </w:tc>
        <w:tc>
          <w:tcPr>
            <w:tcW w:type="dxa" w:w="2304"/>
          </w:tcPr>
          <w:p>
            <w:r>
              <w:rPr>
                <w:rFonts w:ascii="Arial" w:hAnsi="Arial"/>
                <w:sz w:val="19"/>
              </w:rPr>
              <w:t>Textändring</w:t>
            </w:r>
          </w:p>
        </w:tc>
        <w:tc>
          <w:tcPr>
            <w:tcW w:type="dxa" w:w="1728"/>
          </w:tcPr>
          <w:p>
            <w:r>
              <w:rPr>
                <w:rFonts w:ascii="Arial" w:hAnsi="Arial"/>
                <w:b/>
                <w:color w:val="92400E"/>
                <w:sz w:val="19"/>
              </w:rPr>
              <w:t>Medel</w:t>
            </w:r>
          </w:p>
        </w:tc>
      </w:tr>
      <w:tr>
        <w:tc>
          <w:tcPr>
            <w:tcW w:type="dxa" w:w="5184"/>
          </w:tcPr>
          <w:p>
            <w:r>
              <w:rPr>
                <w:rFonts w:ascii="Arial" w:hAnsi="Arial"/>
                <w:sz w:val="19"/>
              </w:rPr>
              <w:t>Lägga till avgränsning för skanning av tredje parts e-post (F5)</w:t>
            </w:r>
          </w:p>
        </w:tc>
        <w:tc>
          <w:tcPr>
            <w:tcW w:type="dxa" w:w="2304"/>
          </w:tcPr>
          <w:p>
            <w:r>
              <w:rPr>
                <w:rFonts w:ascii="Arial" w:hAnsi="Arial"/>
                <w:sz w:val="19"/>
              </w:rPr>
              <w:t>Textändring</w:t>
            </w:r>
          </w:p>
        </w:tc>
        <w:tc>
          <w:tcPr>
            <w:tcW w:type="dxa" w:w="1728"/>
          </w:tcPr>
          <w:p>
            <w:r>
              <w:rPr>
                <w:rFonts w:ascii="Arial" w:hAnsi="Arial"/>
                <w:b/>
                <w:color w:val="92400E"/>
                <w:sz w:val="19"/>
              </w:rPr>
              <w:t>Medel</w:t>
            </w:r>
          </w:p>
        </w:tc>
      </w:tr>
      <w:tr>
        <w:tc>
          <w:tcPr>
            <w:tcW w:type="dxa" w:w="5184"/>
          </w:tcPr>
          <w:p>
            <w:r>
              <w:rPr>
                <w:rFonts w:ascii="Arial" w:hAnsi="Arial"/>
                <w:sz w:val="19"/>
              </w:rPr>
              <w:t>Precisera Bokföringslagen-formulering (F6)</w:t>
            </w:r>
          </w:p>
        </w:tc>
        <w:tc>
          <w:tcPr>
            <w:tcW w:type="dxa" w:w="2304"/>
          </w:tcPr>
          <w:p>
            <w:r>
              <w:rPr>
                <w:rFonts w:ascii="Arial" w:hAnsi="Arial"/>
                <w:sz w:val="19"/>
              </w:rPr>
              <w:t>Textändring</w:t>
            </w:r>
          </w:p>
        </w:tc>
        <w:tc>
          <w:tcPr>
            <w:tcW w:type="dxa" w:w="1728"/>
          </w:tcPr>
          <w:p>
            <w:r>
              <w:rPr>
                <w:rFonts w:ascii="Arial" w:hAnsi="Arial"/>
                <w:b/>
                <w:color w:val="156C35"/>
                <w:sz w:val="19"/>
              </w:rPr>
              <w:t>Låg</w:t>
            </w:r>
          </w:p>
        </w:tc>
      </w:tr>
      <w:tr>
        <w:tc>
          <w:tcPr>
            <w:tcW w:type="dxa" w:w="5184"/>
          </w:tcPr>
          <w:p>
            <w:r>
              <w:rPr>
                <w:rFonts w:ascii="Arial" w:hAnsi="Arial"/>
                <w:sz w:val="19"/>
              </w:rPr>
              <w:t>Korrigera "kakor"-beskrivning (F7)</w:t>
            </w:r>
          </w:p>
        </w:tc>
        <w:tc>
          <w:tcPr>
            <w:tcW w:type="dxa" w:w="2304"/>
          </w:tcPr>
          <w:p>
            <w:r>
              <w:rPr>
                <w:rFonts w:ascii="Arial" w:hAnsi="Arial"/>
                <w:sz w:val="19"/>
              </w:rPr>
              <w:t>Textändring</w:t>
            </w:r>
          </w:p>
        </w:tc>
        <w:tc>
          <w:tcPr>
            <w:tcW w:type="dxa" w:w="1728"/>
          </w:tcPr>
          <w:p>
            <w:r>
              <w:rPr>
                <w:rFonts w:ascii="Arial" w:hAnsi="Arial"/>
                <w:b/>
                <w:color w:val="156C35"/>
                <w:sz w:val="19"/>
              </w:rPr>
              <w:t>Låg</w:t>
            </w:r>
          </w:p>
        </w:tc>
      </w:tr>
      <w:tr>
        <w:tc>
          <w:tcPr>
            <w:tcW w:type="dxa" w:w="5184"/>
          </w:tcPr>
          <w:p>
            <w:r>
              <w:rPr>
                <w:rFonts w:ascii="Arial" w:hAnsi="Arial"/>
                <w:sz w:val="19"/>
              </w:rPr>
              <w:t>Låta en auktoriserad svensk GDPR-jurist granska hela policyn, särskilt F1 och F4</w:t>
            </w:r>
          </w:p>
        </w:tc>
        <w:tc>
          <w:tcPr>
            <w:tcW w:type="dxa" w:w="2304"/>
          </w:tcPr>
          <w:p>
            <w:r>
              <w:rPr>
                <w:rFonts w:ascii="Arial" w:hAnsi="Arial"/>
                <w:sz w:val="19"/>
              </w:rPr>
              <w:t>Juridisk granskning</w:t>
            </w:r>
          </w:p>
        </w:tc>
        <w:tc>
          <w:tcPr>
            <w:tcW w:type="dxa" w:w="1728"/>
          </w:tcPr>
          <w:p>
            <w:r>
              <w:rPr>
                <w:rFonts w:ascii="Arial" w:hAnsi="Arial"/>
                <w:b/>
                <w:color w:val="B91C1C"/>
                <w:sz w:val="19"/>
              </w:rPr>
              <w:t>Hög</w:t>
            </w:r>
          </w:p>
        </w:tc>
      </w:tr>
    </w:tbl>
    <w:p>
      <w:pPr>
        <w:spacing w:after="320"/>
      </w:pPr>
      <w:r>
        <w:rPr>
          <w:rFonts w:ascii="Arial" w:hAnsi="Arial"/>
          <w:b w:val="0"/>
          <w:i w:val="0"/>
          <w:sz w:val="22"/>
        </w:rPr>
      </w:r>
    </w:p>
    <w:p>
      <w:pPr>
        <w:spacing w:after="160"/>
      </w:pPr>
      <w:r>
        <w:rPr>
          <w:rFonts w:ascii="Arial" w:hAnsi="Arial"/>
          <w:b w:val="0"/>
          <w:i/>
          <w:color w:val="6B7A99"/>
          <w:sz w:val="20"/>
        </w:rPr>
        <w:t>Denna bedömning grundar sig på en teknisk och juridisk läsning av GDPR och relevant svensk lagstiftning per den 1 juli 2026, men utgör inte formell juridisk rådgivning. Given den faktiska ekonomiska exponeringen för en enskild firma vid en eventuell IMY-granskning (särskilt kring F1), rekommenderas att punkterna markerade "Hög" valideras av en auktoriserad jurist innan de betraktas som slutgiltigt lösta.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