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2852D9"/>
          <w:sz w:val="28"/>
        </w:rPr>
        <w:t>BLIGLÖMD</w:t>
      </w:r>
    </w:p>
    <w:p>
      <w:pPr>
        <w:spacing w:after="120"/>
      </w:pPr>
      <w:r>
        <w:rPr>
          <w:rFonts w:ascii="Arial" w:hAnsi="Arial"/>
          <w:b/>
          <w:color w:val="1B2640"/>
          <w:sz w:val="46"/>
        </w:rPr>
        <w:t>Juridisk bedömning: Köpavtal/Allmänna villkor mot svensk konsumenträtt</w:t>
      </w:r>
    </w:p>
    <w:p>
      <w:pPr>
        <w:spacing w:after="400"/>
      </w:pPr>
      <w:r>
        <w:rPr>
          <w:rFonts w:ascii="Arial" w:hAnsi="Arial"/>
          <w:b w:val="0"/>
          <w:i w:val="0"/>
          <w:color w:val="6B7A99"/>
          <w:sz w:val="21"/>
        </w:rPr>
        <w:t>Genomförd: 1 juli 2026  ·  Uppföljning till Integritetspolicy-bedömningen (samma datum)  ·  Granskat underlag: src/pages/Terms.tsx, src/config/terms.ts, src/components/ConsentModal.tsx, stripe-checkout/stripe-webhook edge functions, samt gällande svensk konsumentskyddslagstiftning</w:t>
      </w:r>
    </w:p>
    <w:p>
      <w:pPr>
        <w:shd w:val="clear" w:fill="FEF9E8"/>
        <w:spacing w:after="80"/>
        <w:ind w:left="144" w:right="144"/>
      </w:pPr>
      <w:r>
        <w:rPr>
          <w:rFonts w:ascii="Arial" w:hAnsi="Arial"/>
          <w:color w:val="92400E"/>
          <w:sz w:val="21"/>
        </w:rPr>
        <w:t>VIKTIGT — LÄS FÖRST</w:t>
      </w:r>
    </w:p>
    <w:p>
      <w:pPr>
        <w:shd w:val="clear" w:fill="FEF9E8"/>
        <w:spacing w:after="80"/>
        <w:ind w:left="144" w:right="144"/>
      </w:pPr>
      <w:r>
        <w:rPr>
          <w:rFonts w:ascii="Arial" w:hAnsi="Arial"/>
          <w:color w:val="92400E"/>
          <w:sz w:val="20"/>
        </w:rPr>
        <w:t>Denna rapport är sammanställd av en AI-assistent (Claude) genom teknisk och juridisk analys av BliGlömds faktiska Köpavtal, mot bakgrund av Konsumentköplagen (2022:260), Distansavtalslagen (2005:59), Lagen (1994:1512) om avtalsvillkor i konsumentförhållanden, Rättegångsbalken samt Lagen (2002:562) om elektronisk handel. Den ersätter INTE en genomgång av en auktoriserad svensk jurist. Flera fynd nedan rör frågan om befintliga klausuler faktiskt HÅLLER vid en tvist — inte bara om de finns med i texten — vilket är en bedömningsfråga som i slutänden avgörs av domstol eller Konsumentverket, inte av denna rapport.</w:t>
      </w:r>
    </w:p>
    <w:p>
      <w:r>
        <w:br w:type="page"/>
      </w:r>
    </w:p>
    <w:p>
      <w:pPr>
        <w:pStyle w:val="Heading1"/>
      </w:pPr>
      <w:r>
        <w:rPr>
          <w:rFonts w:ascii="Arial" w:hAnsi="Arial"/>
          <w:color w:val="1B2640"/>
        </w:rPr>
        <w:t>1. Sammanfattning</w:t>
      </w:r>
    </w:p>
    <w:p>
      <w:pPr>
        <w:spacing w:after="160"/>
      </w:pPr>
      <w:r>
        <w:rPr>
          <w:rFonts w:ascii="Arial" w:hAnsi="Arial"/>
          <w:b w:val="0"/>
          <w:i w:val="0"/>
          <w:sz w:val="22"/>
        </w:rPr>
        <w:t>Köpavtalet är välskrivet och tydligt strukturerat, med en tydlig varningsruta och en väl fungerande samtyckesmekanism vid köp (ConsentModal + databaslogg) som i praktiken uppfyller kraven i Distansavtalslagen 2 kap. 11 § för att en konsument giltigt ska kunna avstå sin ångerrätt.</w:t>
      </w:r>
    </w:p>
    <w:p>
      <w:pPr>
        <w:spacing w:after="160"/>
      </w:pPr>
      <w:r>
        <w:rPr>
          <w:rFonts w:ascii="Arial" w:hAnsi="Arial"/>
          <w:b w:val="0"/>
          <w:i w:val="0"/>
          <w:sz w:val="22"/>
        </w:rPr>
        <w:t>Den centrala slutsatsen i denna granskning är dock att flera av avtalets mest "skyddande" klausuler — friskrivningen från allt ansvar, löftet om att aldrig ge återbetalning "oavsett omständighet", och den exklusiva forumklausulen — har BEGRÄNSAD faktisk verkan mot en konsument enligt tvingande svensk konsumenträtt. Det innebär inte att klausulerna är olagliga att ha med, men att BliGlömd inte kan förlita sig på dem fullt ut om en kund faktiskt drabbas av att tjänsten inte fungerar som utlovat — vilket är praktiskt relevant givet att en verklig leveransbrist redan upptäckts och åtgärdats denna vecka (Resend-avsändardomänen, se den tidigare bedömningen av Integritetspolicyn).</w:t>
      </w:r>
    </w:p>
    <w:p>
      <w:pPr>
        <w:spacing w:after="160"/>
      </w:pPr>
      <w:r>
        <w:rPr>
          <w:rFonts w:ascii="Arial" w:hAnsi="Arial"/>
          <w:b w:val="0"/>
          <w:i w:val="0"/>
          <w:sz w:val="22"/>
        </w:rPr>
        <w:t>Sammantagen riskbild: MEDEL. Inget fynd kräver akut stängning av tjänsten, men flera klausuler ger en falsk trygghetskänsla som bör korrigeras eller kompletteras.</w:t>
      </w:r>
    </w:p>
    <w:p>
      <w:pPr>
        <w:pStyle w:val="Heading2"/>
      </w:pPr>
      <w:r>
        <w:rPr>
          <w:rFonts w:ascii="Arial" w:hAnsi="Arial"/>
          <w:color w:val="1B2640"/>
        </w:rPr>
        <w:t>Fynd i sammandrag</w:t>
      </w:r>
    </w:p>
    <w:tbl>
      <w:tblPr>
        <w:tblW w:type="auto" w:w="0"/>
        <w:jc w:val="center"/>
        <w:tblLook w:firstColumn="1" w:firstRow="1" w:lastColumn="0" w:lastRow="0" w:noHBand="0" w:noVBand="1" w:val="04A0"/>
      </w:tblPr>
      <w:tblGrid>
        <w:gridCol w:w="2340"/>
        <w:gridCol w:w="2340"/>
        <w:gridCol w:w="2340"/>
        <w:gridCol w:w="2340"/>
      </w:tblGrid>
      <w:tr>
        <w:tc>
          <w:tcPr>
            <w:tcW w:type="dxa" w:w="864"/>
            <w:shd w:val="clear" w:color="auto" w:fill="1E3A8A"/>
          </w:tcPr>
          <w:p>
            <w:r>
              <w:rPr>
                <w:rFonts w:ascii="Arial" w:hAnsi="Arial"/>
                <w:b/>
                <w:color w:val="FFFFFF"/>
                <w:sz w:val="20"/>
              </w:rPr>
              <w:t>#</w:t>
            </w:r>
          </w:p>
        </w:tc>
        <w:tc>
          <w:tcPr>
            <w:tcW w:type="dxa" w:w="6192"/>
            <w:shd w:val="clear" w:color="auto" w:fill="1E3A8A"/>
          </w:tcPr>
          <w:p>
            <w:r>
              <w:rPr>
                <w:rFonts w:ascii="Arial" w:hAnsi="Arial"/>
                <w:b/>
                <w:color w:val="FFFFFF"/>
                <w:sz w:val="20"/>
              </w:rPr>
              <w:t>Fynd</w:t>
            </w:r>
          </w:p>
        </w:tc>
        <w:tc>
          <w:tcPr>
            <w:tcW w:type="dxa" w:w="1440"/>
            <w:shd w:val="clear" w:color="auto" w:fill="1E3A8A"/>
          </w:tcPr>
          <w:p>
            <w:r>
              <w:rPr>
                <w:rFonts w:ascii="Arial" w:hAnsi="Arial"/>
                <w:b/>
                <w:color w:val="FFFFFF"/>
                <w:sz w:val="20"/>
              </w:rPr>
              <w:t>Risk</w:t>
            </w:r>
          </w:p>
        </w:tc>
        <w:tc>
          <w:tcPr>
            <w:tcW w:type="dxa" w:w="2160"/>
            <w:shd w:val="clear" w:color="auto" w:fill="1E3A8A"/>
          </w:tcPr>
          <w:p>
            <w:r>
              <w:rPr>
                <w:rFonts w:ascii="Arial" w:hAnsi="Arial"/>
                <w:b/>
                <w:color w:val="FFFFFF"/>
                <w:sz w:val="20"/>
              </w:rPr>
              <w:t>Status</w:t>
            </w:r>
          </w:p>
        </w:tc>
      </w:tr>
      <w:tr>
        <w:tc>
          <w:tcPr>
            <w:tcW w:type="dxa" w:w="864"/>
          </w:tcPr>
          <w:p>
            <w:r>
              <w:rPr>
                <w:rFonts w:ascii="Arial" w:hAnsi="Arial"/>
                <w:sz w:val="20"/>
              </w:rPr>
              <w:t>F1</w:t>
            </w:r>
          </w:p>
        </w:tc>
        <w:tc>
          <w:tcPr>
            <w:tcW w:type="dxa" w:w="6192"/>
          </w:tcPr>
          <w:p>
            <w:r>
              <w:rPr>
                <w:rFonts w:ascii="Arial" w:hAnsi="Arial"/>
                <w:sz w:val="18"/>
              </w:rPr>
              <w:t>Blanketta "inga återbetalningar/inga garantier oavsett omständighet"-klausuler kan inte upphäva konsumentens tvingande rättigheter enligt Konsumentköplagen (2022:260) vid faktiskt bristande leverans.</w:t>
            </w:r>
          </w:p>
        </w:tc>
        <w:tc>
          <w:tcPr>
            <w:tcW w:type="dxa" w:w="1440"/>
          </w:tcPr>
          <w:p>
            <w:r>
              <w:rPr>
                <w:rFonts w:ascii="Arial" w:hAnsi="Arial"/>
                <w:b/>
                <w:color w:val="B91C1C"/>
                <w:sz w:val="18"/>
              </w:rPr>
              <w:t>HÖG</w:t>
            </w:r>
          </w:p>
        </w:tc>
        <w:tc>
          <w:tcPr>
            <w:tcW w:type="dxa" w:w="2160"/>
          </w:tcPr>
          <w:p>
            <w:r>
              <w:rPr>
                <w:rFonts w:ascii="Arial" w:hAnsi="Arial"/>
                <w:sz w:val="18"/>
              </w:rPr>
              <w:t>Kvarstår — kräver textändring + affärsförståelse</w:t>
            </w:r>
          </w:p>
        </w:tc>
      </w:tr>
      <w:tr>
        <w:tc>
          <w:tcPr>
            <w:tcW w:type="dxa" w:w="864"/>
          </w:tcPr>
          <w:p>
            <w:r>
              <w:rPr>
                <w:rFonts w:ascii="Arial" w:hAnsi="Arial"/>
                <w:sz w:val="20"/>
              </w:rPr>
              <w:t>F2</w:t>
            </w:r>
          </w:p>
        </w:tc>
        <w:tc>
          <w:tcPr>
            <w:tcW w:type="dxa" w:w="6192"/>
          </w:tcPr>
          <w:p>
            <w:r>
              <w:rPr>
                <w:rFonts w:ascii="Arial" w:hAnsi="Arial"/>
                <w:sz w:val="18"/>
              </w:rPr>
              <w:t>Den exklusiva forumklausulen (Helsingborgs tingsrätt) ger begränsat verkligt skydd — konsumenten kan enligt RB 10 kap. 8 a § ändå stämma vid sin egen hemvist för småmål, vilket i praktiken omfattar nästan alla tänkbara tvister här.</w:t>
            </w:r>
          </w:p>
        </w:tc>
        <w:tc>
          <w:tcPr>
            <w:tcW w:type="dxa" w:w="1440"/>
          </w:tcPr>
          <w:p>
            <w:r>
              <w:rPr>
                <w:rFonts w:ascii="Arial" w:hAnsi="Arial"/>
                <w:b/>
                <w:color w:val="92400E"/>
                <w:sz w:val="18"/>
              </w:rPr>
              <w:t>MEDEL</w:t>
            </w:r>
          </w:p>
        </w:tc>
        <w:tc>
          <w:tcPr>
            <w:tcW w:type="dxa" w:w="2160"/>
          </w:tcPr>
          <w:p>
            <w:r>
              <w:rPr>
                <w:rFonts w:ascii="Arial" w:hAnsi="Arial"/>
                <w:sz w:val="18"/>
              </w:rPr>
              <w:t>Kvarstår — informationsfråga</w:t>
            </w:r>
          </w:p>
        </w:tc>
      </w:tr>
      <w:tr>
        <w:tc>
          <w:tcPr>
            <w:tcW w:type="dxa" w:w="864"/>
          </w:tcPr>
          <w:p>
            <w:r>
              <w:rPr>
                <w:rFonts w:ascii="Arial" w:hAnsi="Arial"/>
                <w:sz w:val="20"/>
              </w:rPr>
              <w:t>F3</w:t>
            </w:r>
          </w:p>
        </w:tc>
        <w:tc>
          <w:tcPr>
            <w:tcW w:type="dxa" w:w="6192"/>
          </w:tcPr>
          <w:p>
            <w:r>
              <w:rPr>
                <w:rFonts w:ascii="Arial" w:hAnsi="Arial"/>
                <w:sz w:val="18"/>
              </w:rPr>
              <w:t>Ingen orderbekräftelse/ångerrättsbekräftelse skickas till kunden i varaktigt medium efter köp — endast lagrad internt i databasen.</w:t>
            </w:r>
          </w:p>
        </w:tc>
        <w:tc>
          <w:tcPr>
            <w:tcW w:type="dxa" w:w="1440"/>
          </w:tcPr>
          <w:p>
            <w:r>
              <w:rPr>
                <w:rFonts w:ascii="Arial" w:hAnsi="Arial"/>
                <w:b/>
                <w:color w:val="92400E"/>
                <w:sz w:val="18"/>
              </w:rPr>
              <w:t>MEDEL</w:t>
            </w:r>
          </w:p>
        </w:tc>
        <w:tc>
          <w:tcPr>
            <w:tcW w:type="dxa" w:w="2160"/>
          </w:tcPr>
          <w:p>
            <w:r>
              <w:rPr>
                <w:rFonts w:ascii="Arial" w:hAnsi="Arial"/>
                <w:sz w:val="18"/>
              </w:rPr>
              <w:t>Kvarstår — kräver ny e-postfunktion</w:t>
            </w:r>
          </w:p>
        </w:tc>
      </w:tr>
      <w:tr>
        <w:tc>
          <w:tcPr>
            <w:tcW w:type="dxa" w:w="864"/>
          </w:tcPr>
          <w:p>
            <w:r>
              <w:rPr>
                <w:rFonts w:ascii="Arial" w:hAnsi="Arial"/>
                <w:sz w:val="20"/>
              </w:rPr>
              <w:t>F4</w:t>
            </w:r>
          </w:p>
        </w:tc>
        <w:tc>
          <w:tcPr>
            <w:tcW w:type="dxa" w:w="6192"/>
          </w:tcPr>
          <w:p>
            <w:r>
              <w:rPr>
                <w:rFonts w:ascii="Arial" w:hAnsi="Arial"/>
                <w:sz w:val="18"/>
              </w:rPr>
              <w:t>Flera ensidiga standardklausuler (extremt låg ansvarsbegränsning, ensidig villkorsändring utan uppsägningsrätt) riskerar oskälighetsprövning enligt Avtalsvillkorslagen (1994:1512) / 36 § Avtalslagen.</w:t>
            </w:r>
          </w:p>
        </w:tc>
        <w:tc>
          <w:tcPr>
            <w:tcW w:type="dxa" w:w="1440"/>
          </w:tcPr>
          <w:p>
            <w:r>
              <w:rPr>
                <w:rFonts w:ascii="Arial" w:hAnsi="Arial"/>
                <w:b/>
                <w:color w:val="92400E"/>
                <w:sz w:val="18"/>
              </w:rPr>
              <w:t>MEDEL</w:t>
            </w:r>
          </w:p>
        </w:tc>
        <w:tc>
          <w:tcPr>
            <w:tcW w:type="dxa" w:w="2160"/>
          </w:tcPr>
          <w:p>
            <w:r>
              <w:rPr>
                <w:rFonts w:ascii="Arial" w:hAnsi="Arial"/>
                <w:sz w:val="18"/>
              </w:rPr>
              <w:t>Kvarstår</w:t>
            </w:r>
          </w:p>
        </w:tc>
      </w:tr>
      <w:tr>
        <w:tc>
          <w:tcPr>
            <w:tcW w:type="dxa" w:w="864"/>
          </w:tcPr>
          <w:p>
            <w:r>
              <w:rPr>
                <w:rFonts w:ascii="Arial" w:hAnsi="Arial"/>
                <w:sz w:val="20"/>
              </w:rPr>
              <w:t>F5</w:t>
            </w:r>
          </w:p>
        </w:tc>
        <w:tc>
          <w:tcPr>
            <w:tcW w:type="dxa" w:w="6192"/>
          </w:tcPr>
          <w:p>
            <w:r>
              <w:rPr>
                <w:rFonts w:ascii="Arial" w:hAnsi="Arial"/>
                <w:sz w:val="18"/>
              </w:rPr>
              <w:t>Ingen registrerad adress eller organisationsnummer anges någonstans på webbplatsen, trots krav i Lagen (2002:562) om elektronisk handel.</w:t>
            </w:r>
          </w:p>
        </w:tc>
        <w:tc>
          <w:tcPr>
            <w:tcW w:type="dxa" w:w="1440"/>
          </w:tcPr>
          <w:p>
            <w:r>
              <w:rPr>
                <w:rFonts w:ascii="Arial" w:hAnsi="Arial"/>
                <w:b/>
                <w:color w:val="92400E"/>
                <w:sz w:val="18"/>
              </w:rPr>
              <w:t>MEDEL/LÅG</w:t>
            </w:r>
          </w:p>
        </w:tc>
        <w:tc>
          <w:tcPr>
            <w:tcW w:type="dxa" w:w="2160"/>
          </w:tcPr>
          <w:p>
            <w:r>
              <w:rPr>
                <w:rFonts w:ascii="Arial" w:hAnsi="Arial"/>
                <w:sz w:val="18"/>
              </w:rPr>
              <w:t>Kvarstår — enkel textfix</w:t>
            </w:r>
          </w:p>
        </w:tc>
      </w:tr>
      <w:tr>
        <w:tc>
          <w:tcPr>
            <w:tcW w:type="dxa" w:w="864"/>
          </w:tcPr>
          <w:p>
            <w:r>
              <w:rPr>
                <w:rFonts w:ascii="Arial" w:hAnsi="Arial"/>
                <w:sz w:val="20"/>
              </w:rPr>
              <w:t>F6</w:t>
            </w:r>
          </w:p>
        </w:tc>
        <w:tc>
          <w:tcPr>
            <w:tcW w:type="dxa" w:w="6192"/>
          </w:tcPr>
          <w:p>
            <w:r>
              <w:rPr>
                <w:rFonts w:ascii="Arial" w:hAnsi="Arial"/>
                <w:sz w:val="18"/>
              </w:rPr>
              <w:t>Villkorsändringsklausulen ger ingen uttrycklig uppsägningsrätt utan kostnad om kunden inte godtar en ändring.</w:t>
            </w:r>
          </w:p>
        </w:tc>
        <w:tc>
          <w:tcPr>
            <w:tcW w:type="dxa" w:w="1440"/>
          </w:tcPr>
          <w:p>
            <w:r>
              <w:rPr>
                <w:rFonts w:ascii="Arial" w:hAnsi="Arial"/>
                <w:b/>
                <w:color w:val="156C35"/>
                <w:sz w:val="18"/>
              </w:rPr>
              <w:t>LÅG</w:t>
            </w:r>
          </w:p>
        </w:tc>
        <w:tc>
          <w:tcPr>
            <w:tcW w:type="dxa" w:w="2160"/>
          </w:tcPr>
          <w:p>
            <w:r>
              <w:rPr>
                <w:rFonts w:ascii="Arial" w:hAnsi="Arial"/>
                <w:sz w:val="18"/>
              </w:rPr>
              <w:t>Kvarstår — enkel textfix</w:t>
            </w:r>
          </w:p>
        </w:tc>
      </w:tr>
      <w:tr>
        <w:tc>
          <w:tcPr>
            <w:tcW w:type="dxa" w:w="864"/>
          </w:tcPr>
          <w:p>
            <w:r>
              <w:rPr>
                <w:rFonts w:ascii="Arial" w:hAnsi="Arial"/>
                <w:sz w:val="20"/>
              </w:rPr>
              <w:t>F7</w:t>
            </w:r>
          </w:p>
        </w:tc>
        <w:tc>
          <w:tcPr>
            <w:tcW w:type="dxa" w:w="6192"/>
          </w:tcPr>
          <w:p>
            <w:r>
              <w:rPr>
                <w:rFonts w:ascii="Arial" w:hAnsi="Arial"/>
                <w:sz w:val="18"/>
              </w:rPr>
              <w:t>Endast den svenska versionen anges som juridiskt bindande, trots att tjänsten aktivt erbjuds på engelska till engelskspråkiga kunder.</w:t>
            </w:r>
          </w:p>
        </w:tc>
        <w:tc>
          <w:tcPr>
            <w:tcW w:type="dxa" w:w="1440"/>
          </w:tcPr>
          <w:p>
            <w:r>
              <w:rPr>
                <w:rFonts w:ascii="Arial" w:hAnsi="Arial"/>
                <w:b/>
                <w:color w:val="156C35"/>
                <w:sz w:val="18"/>
              </w:rPr>
              <w:t>LÅG</w:t>
            </w:r>
          </w:p>
        </w:tc>
        <w:tc>
          <w:tcPr>
            <w:tcW w:type="dxa" w:w="2160"/>
          </w:tcPr>
          <w:p>
            <w:r>
              <w:rPr>
                <w:rFonts w:ascii="Arial" w:hAnsi="Arial"/>
                <w:sz w:val="18"/>
              </w:rPr>
              <w:t>Kvarstår — informationsfråga</w:t>
            </w:r>
          </w:p>
        </w:tc>
      </w:tr>
    </w:tbl>
    <w:p>
      <w:r>
        <w:br w:type="page"/>
      </w:r>
    </w:p>
    <w:p>
      <w:pPr>
        <w:pStyle w:val="Heading1"/>
      </w:pPr>
      <w:r>
        <w:rPr>
          <w:rFonts w:ascii="Arial" w:hAnsi="Arial"/>
          <w:color w:val="1B2640"/>
        </w:rPr>
        <w:t>2. Metod och underlag</w:t>
      </w:r>
    </w:p>
    <w:p>
      <w:pPr>
        <w:spacing w:after="160"/>
      </w:pPr>
      <w:r>
        <w:rPr>
          <w:rFonts w:ascii="Arial" w:hAnsi="Arial"/>
          <w:b w:val="0"/>
          <w:i w:val="0"/>
          <w:sz w:val="22"/>
        </w:rPr>
        <w:t>Granskningen jämför den faktiska avtalstexten mot tvingande svensk och EU-konsumenträtt:</w:t>
      </w:r>
    </w:p>
    <w:p>
      <w:pPr>
        <w:pStyle w:val="ListBullet"/>
      </w:pPr>
      <w:r>
        <w:rPr>
          <w:rFonts w:ascii="Arial" w:hAnsi="Arial"/>
          <w:sz w:val="22"/>
        </w:rPr>
        <w:t>Fullständig text i src/pages/Terms.tsx, src/config/terms.ts och checkout-sammanfattningen i src/components/ConsentModal.tsx.</w:t>
      </w:r>
    </w:p>
    <w:p>
      <w:pPr>
        <w:pStyle w:val="ListBullet"/>
      </w:pPr>
      <w:r>
        <w:rPr>
          <w:rFonts w:ascii="Arial" w:hAnsi="Arial"/>
          <w:sz w:val="22"/>
        </w:rPr>
        <w:t>Faktiskt köpflöde: stripe-checkout och stripe-webhook edge functions, för att verifiera vad kunden verkligen tar emot (eller inte tar emot) efter köp.</w:t>
      </w:r>
    </w:p>
    <w:p>
      <w:pPr>
        <w:pStyle w:val="ListBullet"/>
      </w:pPr>
      <w:r>
        <w:rPr>
          <w:rFonts w:ascii="Arial" w:hAnsi="Arial"/>
          <w:sz w:val="22"/>
        </w:rPr>
        <w:t>Konsumentköplagen (2022:260), som från 1 maj 2022 implementerar EU:s direktiv om digitalt innehåll (2019/770) och ersatte 1990 års konsumentköplag — omfattar avtal där en näringsidkare tillhandahåller en digital tjänst mot betalning till en konsument.</w:t>
      </w:r>
    </w:p>
    <w:p>
      <w:pPr>
        <w:pStyle w:val="ListBullet"/>
      </w:pPr>
      <w:r>
        <w:rPr>
          <w:rFonts w:ascii="Arial" w:hAnsi="Arial"/>
          <w:sz w:val="22"/>
        </w:rPr>
        <w:t>Distansavtalslagen (2005:59), särskilt 2 kap. 11–12 §§ om ångerrätt och krav på bekräftelse i varaktigt medium.</w:t>
      </w:r>
    </w:p>
    <w:p>
      <w:pPr>
        <w:pStyle w:val="ListBullet"/>
      </w:pPr>
      <w:r>
        <w:rPr>
          <w:rFonts w:ascii="Arial" w:hAnsi="Arial"/>
          <w:sz w:val="22"/>
        </w:rPr>
        <w:t>Rättegångsbalken 10 kap. 8 a §, om konsumentens rätt att väcka talan vid sitt eget hemvistforum för småmål.</w:t>
      </w:r>
    </w:p>
    <w:p>
      <w:pPr>
        <w:pStyle w:val="ListBullet"/>
      </w:pPr>
      <w:r>
        <w:rPr>
          <w:rFonts w:ascii="Arial" w:hAnsi="Arial"/>
          <w:sz w:val="22"/>
        </w:rPr>
        <w:t>Lagen (1994:1512) om avtalsvillkor i konsumentförhållanden samt 36 § avtalslagen (generalklausulen mot oskäliga avtalsvillkor).</w:t>
      </w:r>
    </w:p>
    <w:p>
      <w:pPr>
        <w:pStyle w:val="ListBullet"/>
      </w:pPr>
      <w:r>
        <w:rPr>
          <w:rFonts w:ascii="Arial" w:hAnsi="Arial"/>
          <w:sz w:val="22"/>
        </w:rPr>
        <w:t>Lagen (2002:562) om elektronisk handel och andra informationssamhällets tjänster, §§ 8–10 om obligatorisk näringsidkarinformation.</w:t>
      </w:r>
    </w:p>
    <w:p>
      <w:r>
        <w:br w:type="page"/>
      </w:r>
    </w:p>
    <w:p>
      <w:pPr>
        <w:pStyle w:val="Heading1"/>
      </w:pPr>
      <w:r>
        <w:rPr>
          <w:rFonts w:ascii="Arial" w:hAnsi="Arial"/>
          <w:color w:val="1B2640"/>
        </w:rPr>
        <w:t>3. Detaljerade fynd</w:t>
      </w:r>
    </w:p>
    <w:p>
      <w:pPr>
        <w:pStyle w:val="Heading2"/>
      </w:pPr>
      <w:r>
        <w:rPr>
          <w:rFonts w:ascii="Arial" w:hAnsi="Arial"/>
          <w:color w:val="1B2640"/>
        </w:rPr>
        <w:t xml:space="preserve">F1 — Blanketta ansvarsfriskrivningar kan inte upphäva tvingande konsumenträtt  </w:t>
      </w:r>
      <w:r>
        <w:rPr>
          <w:rFonts w:ascii="Arial" w:hAnsi="Arial"/>
          <w:color w:val="B91C1C"/>
        </w:rPr>
        <w:t>[HÖG]</w:t>
      </w:r>
    </w:p>
    <w:p>
      <w:pPr>
        <w:spacing w:after="200"/>
      </w:pPr>
      <w:r>
        <w:rPr>
          <w:rFonts w:ascii="Arial" w:hAnsi="Arial"/>
          <w:b w:val="0"/>
          <w:i/>
          <w:color w:val="6B7A99"/>
          <w:sz w:val="20"/>
        </w:rPr>
        <w:t>Status: Kvarstår — kräver textändring och en förståelse för vad klausulen faktiskt gör</w:t>
      </w:r>
    </w:p>
    <w:p>
      <w:pPr>
        <w:spacing w:after="160"/>
      </w:pPr>
      <w:r>
        <w:rPr>
          <w:rFonts w:ascii="Arial" w:hAnsi="Arial"/>
          <w:b w:val="0"/>
          <w:i w:val="0"/>
          <w:sz w:val="22"/>
        </w:rPr>
        <w:t>Köpavtalet anger att tjänsten "levereras utan garantier" och att "samtliga betalningar är slutgiltiga och återbetalas inte, oavsett omständighet" — inklusive uttryckligen om tjänsten är "otillgänglig, förändras, begränsas eller läggs ned".</w:t>
      </w:r>
    </w:p>
    <w:p>
      <w:pPr>
        <w:spacing w:after="160"/>
      </w:pPr>
      <w:r>
        <w:rPr>
          <w:rFonts w:ascii="Arial" w:hAnsi="Arial"/>
          <w:b w:val="0"/>
          <w:i w:val="0"/>
          <w:sz w:val="22"/>
        </w:rPr>
        <w:t>Konsumentköplagen (2022:260), som implementerar EU:s digitaltjänstdirektiv (2019/770), ger en konsument TVINGANDE rätt till avhjälpande, prisavdrag eller att häva avtalet om en digital tjänst inte överensstämmer med vad som avtalats — och denna rätt kan INTE avtalas bort till konsumentens nackdel. En klausul som säger "inga återbetalningar oavsett omständighet" är därför sannolikt ogiltig i den mån den tillämpas på en situation där tjänsten faktiskt var bristfällig (t.ex. om en GDPR-förfrågan aldrig skickades på grund av ett tekniskt fel) — även om klausulen är fullt giltig för fall där kunden helt enkelt ångrar sitt köp eller inte utnyttjar tjänsten.</w:t>
      </w:r>
    </w:p>
    <w:p>
      <w:pPr>
        <w:spacing w:after="160"/>
      </w:pPr>
      <w:r>
        <w:rPr>
          <w:rFonts w:ascii="Arial" w:hAnsi="Arial"/>
          <w:b w:val="0"/>
          <w:i w:val="0"/>
          <w:sz w:val="22"/>
        </w:rPr>
        <w:t>Detta är inte en hypotetisk risk: granskningen av Integritetspolicyn samma dag identifierade att avsändardomänen för utgående e-post var felkonfigurerad på ett sätt som riskerade att GDPR-raderingsförfrågningar till bolag aldrig levererades — exakt den typ av bristande leverans som skulle trigga en tvingande rätt till åtgärd, trots klausulens ordalydelse.</w:t>
      </w:r>
    </w:p>
    <w:p>
      <w:pPr>
        <w:spacing w:after="160"/>
        <w:ind w:left="504"/>
      </w:pPr>
      <w:r>
        <w:rPr>
          <w:rFonts w:ascii="Arial" w:hAnsi="Arial"/>
          <w:i/>
          <w:color w:val="6B7A99"/>
          <w:sz w:val="21"/>
        </w:rPr>
        <w:t>"Samtliga betalningar är slutgiltiga och återbetalas inte, oavsett omständighet."</w:t>
      </w:r>
    </w:p>
    <w:p>
      <w:pPr>
        <w:spacing w:after="80"/>
      </w:pPr>
      <w:r>
        <w:rPr>
          <w:rFonts w:ascii="Arial" w:hAnsi="Arial"/>
          <w:b/>
          <w:i w:val="0"/>
          <w:sz w:val="22"/>
        </w:rPr>
        <w:t>Rekommendation:</w:t>
      </w:r>
    </w:p>
    <w:p>
      <w:pPr>
        <w:spacing w:after="160"/>
      </w:pPr>
      <w:r>
        <w:rPr>
          <w:rFonts w:ascii="Arial" w:hAnsi="Arial"/>
          <w:b w:val="0"/>
          <w:i w:val="0"/>
          <w:sz w:val="22"/>
        </w:rPr>
        <w:t>Behåll klausulen för det avsedda syftet (att undvika återbetalning vid ånger/icke-användning), men lägg till en reservation som erkänner konsumentens tvingande rättigheter vid faktisk bristande leverans. Detta skyddar BliGlömd bättre än den nuvarande blanketta formuleringen, eftersom en domstol annars kan ogiltigförklara hela klausulen (inte bara justera den) om den bedöms som ett försök att helt utesluta tvingande konsumentskydd.</w:t>
      </w:r>
    </w:p>
    <w:p>
      <w:pPr>
        <w:spacing w:after="80"/>
      </w:pPr>
      <w:r>
        <w:rPr>
          <w:rFonts w:ascii="Arial" w:hAnsi="Arial"/>
          <w:b/>
          <w:i w:val="0"/>
          <w:sz w:val="21"/>
        </w:rPr>
        <w:t>Föreslagen text (kräver juridisk granskning innan publicering):</w:t>
      </w:r>
    </w:p>
    <w:p>
      <w:pPr>
        <w:spacing w:after="160"/>
        <w:ind w:left="504"/>
      </w:pPr>
      <w:r>
        <w:rPr>
          <w:rFonts w:ascii="Arial" w:hAnsi="Arial"/>
          <w:i/>
          <w:color w:val="6B7A99"/>
          <w:sz w:val="21"/>
        </w:rPr>
        <w:t>"Samtliga betalningar är slutgiltiga och återbetalas inte, med undantag för de fall där konsumenten har en tvingande rätt till avhjälpande, prisavdrag eller hävning enligt Konsumentköplagen (2022:260) på grund av att tjänsten inte har levererats i enlighet med detta avtal."</w:t>
      </w:r>
    </w:p>
    <w:p>
      <w:pPr>
        <w:pStyle w:val="Heading2"/>
      </w:pPr>
      <w:r>
        <w:rPr>
          <w:rFonts w:ascii="Arial" w:hAnsi="Arial"/>
          <w:color w:val="1B2640"/>
        </w:rPr>
        <w:t xml:space="preserve">F2 — Forumklausulen ger begränsat verkligt skydd mot konsumentkrav  </w:t>
      </w:r>
      <w:r>
        <w:rPr>
          <w:rFonts w:ascii="Arial" w:hAnsi="Arial"/>
          <w:color w:val="92400E"/>
        </w:rPr>
        <w:t>[MEDEL]</w:t>
      </w:r>
    </w:p>
    <w:p>
      <w:pPr>
        <w:spacing w:after="200"/>
      </w:pPr>
      <w:r>
        <w:rPr>
          <w:rFonts w:ascii="Arial" w:hAnsi="Arial"/>
          <w:b w:val="0"/>
          <w:i/>
          <w:color w:val="6B7A99"/>
          <w:sz w:val="20"/>
        </w:rPr>
        <w:t>Status: Kvarstår — informationsfråga, inte fel i sig</w:t>
      </w:r>
    </w:p>
    <w:p>
      <w:pPr>
        <w:spacing w:after="160"/>
      </w:pPr>
      <w:r>
        <w:rPr>
          <w:rFonts w:ascii="Arial" w:hAnsi="Arial"/>
          <w:b w:val="0"/>
          <w:i w:val="0"/>
          <w:sz w:val="22"/>
        </w:rPr>
        <w:t>Avtalet anger Helsingborgs tingsrätt som exklusivt forum för alla tvister. Enligt Rättegångsbalken 10 kap. 8 a § får dock en konsument väcka talan mot en näringsidkare vid sitt EGET hemvistforum, så länge tvisten kan antas handläggas som småmål (tvister om ett värde understigande ca ett halvt prisbasbelopp).</w:t>
      </w:r>
    </w:p>
    <w:p>
      <w:pPr>
        <w:spacing w:after="160"/>
      </w:pPr>
      <w:r>
        <w:rPr>
          <w:rFonts w:ascii="Arial" w:hAnsi="Arial"/>
          <w:b w:val="0"/>
          <w:i w:val="0"/>
          <w:sz w:val="22"/>
        </w:rPr>
        <w:t>Givet BliGlömds prisnivåer (abonnemang på tiotals till några hundra kronor per månad) och den egna ansvarsbegränsningen på 500 kr, kommer i praktiken NÄSTAN VARJE tänkbar tvist som en kund initierar mot BliGlömd att kvalificera som småmål — vilket innebär att kunden kan välja att stämma på sin egen hemort oavsett vad forumklausulen säger. Klausulen är alltså giltig och kan fortsatt användas, men ger i denna kontext ett betydligt svagare skydd än vad texten antyder, särskilt om det är BliGlömd som blir stämt (snarare än BliGlömd som stämmer en kund, där klausulen har större verkan).</w:t>
      </w:r>
    </w:p>
    <w:p>
      <w:pPr>
        <w:spacing w:after="80"/>
      </w:pPr>
      <w:r>
        <w:rPr>
          <w:rFonts w:ascii="Arial" w:hAnsi="Arial"/>
          <w:b/>
          <w:i w:val="0"/>
          <w:sz w:val="22"/>
        </w:rPr>
        <w:t>Rekommendation:</w:t>
      </w:r>
    </w:p>
    <w:p>
      <w:pPr>
        <w:spacing w:after="160"/>
      </w:pPr>
      <w:r>
        <w:rPr>
          <w:rFonts w:ascii="Arial" w:hAnsi="Arial"/>
          <w:b w:val="0"/>
          <w:i w:val="0"/>
          <w:sz w:val="22"/>
        </w:rPr>
        <w:t>Behåll klausulen (den är inte felaktig och kan fortfarande gälla för tvister BliGlömd själv väcker, samt för icke-konsumenter), men var medveten om att den inte är ett fullgott skydd mot att bli stämd av en missnöjd kund på annan ort. Detta ändrar inte rekommendationen att byta stad från Stockholm till Helsingborg — det är i övrigt en giltig och rimlig val av forum för de fall klausulen faktiskt får verkan.</w:t>
      </w:r>
    </w:p>
    <w:p>
      <w:pPr>
        <w:pStyle w:val="Heading2"/>
      </w:pPr>
      <w:r>
        <w:rPr>
          <w:rFonts w:ascii="Arial" w:hAnsi="Arial"/>
          <w:color w:val="1B2640"/>
        </w:rPr>
        <w:t xml:space="preserve">F3 — Ingen orderbekräftelse/ångerrättsbekräftelse i varaktigt medium  </w:t>
      </w:r>
      <w:r>
        <w:rPr>
          <w:rFonts w:ascii="Arial" w:hAnsi="Arial"/>
          <w:color w:val="92400E"/>
        </w:rPr>
        <w:t>[MEDEL]</w:t>
      </w:r>
    </w:p>
    <w:p>
      <w:pPr>
        <w:spacing w:after="200"/>
      </w:pPr>
      <w:r>
        <w:rPr>
          <w:rFonts w:ascii="Arial" w:hAnsi="Arial"/>
          <w:b w:val="0"/>
          <w:i/>
          <w:color w:val="6B7A99"/>
          <w:sz w:val="20"/>
        </w:rPr>
        <w:t>Status: Kvarstår — kräver en ny transaktionell e-postfunktion</w:t>
      </w:r>
    </w:p>
    <w:p>
      <w:pPr>
        <w:spacing w:after="160"/>
      </w:pPr>
      <w:r>
        <w:rPr>
          <w:rFonts w:ascii="Arial" w:hAnsi="Arial"/>
          <w:b w:val="0"/>
          <w:i w:val="0"/>
          <w:sz w:val="22"/>
        </w:rPr>
        <w:t>Distansavtalslagen 2 kap. 12 § kräver att näringsidkaren, senast vid leveransen, bekräftar avtalet (inklusive information om att ångerrätten gått förlorad enligt 2 kap. 11 §) till konsumenten på ett "varaktigt medium" — vanligtvis e-post skickad TILL kunden, inte enbart en post i näringsidkarens egen databas som kunden måste logga in för att se.</w:t>
      </w:r>
    </w:p>
    <w:p>
      <w:pPr>
        <w:spacing w:after="160"/>
      </w:pPr>
      <w:r>
        <w:rPr>
          <w:rFonts w:ascii="Arial" w:hAnsi="Arial"/>
          <w:b w:val="0"/>
          <w:i w:val="0"/>
          <w:sz w:val="22"/>
        </w:rPr>
        <w:t>Genomgång av stripe-checkout och stripe-webhook (edge functions) visar att BliGlömd inte skickar någon egen bekräftelse efter köp. Kundens enda bekräftelse är Stripes generiska betalningskvitto, som inte nämner ångerrättsavståendet eller Köpavtalets villkor specifikt.</w:t>
      </w:r>
    </w:p>
    <w:p>
      <w:pPr>
        <w:spacing w:after="80"/>
      </w:pPr>
      <w:r>
        <w:rPr>
          <w:rFonts w:ascii="Arial" w:hAnsi="Arial"/>
          <w:b/>
          <w:i w:val="0"/>
          <w:sz w:val="22"/>
        </w:rPr>
        <w:t>Rekommendation:</w:t>
      </w:r>
    </w:p>
    <w:p>
      <w:pPr>
        <w:spacing w:after="160"/>
      </w:pPr>
      <w:r>
        <w:rPr>
          <w:rFonts w:ascii="Arial" w:hAnsi="Arial"/>
          <w:b w:val="0"/>
          <w:i w:val="0"/>
          <w:sz w:val="22"/>
        </w:rPr>
        <w:t>Lägg till ett e-postutskick (via befintlig Resend-integration) direkt efter lyckad betalning (t.ex. i stripe-webhook vid checkout.session.completed) som bekräftar köpet, vilken avtalsversion som gäller, och att ångerrätten avstås enligt kundens samtycke — detta stärker både den rättsliga giltigheten av ångerrättsavståendet och bevisläget vid en eventuell tvist.</w:t>
      </w:r>
    </w:p>
    <w:p>
      <w:pPr>
        <w:pStyle w:val="Heading2"/>
      </w:pPr>
      <w:r>
        <w:rPr>
          <w:rFonts w:ascii="Arial" w:hAnsi="Arial"/>
          <w:color w:val="1B2640"/>
        </w:rPr>
        <w:t xml:space="preserve">F4 — Standardklausuler med risk för oskälighetsprövning  </w:t>
      </w:r>
      <w:r>
        <w:rPr>
          <w:rFonts w:ascii="Arial" w:hAnsi="Arial"/>
          <w:color w:val="92400E"/>
        </w:rPr>
        <w:t>[MEDEL]</w:t>
      </w:r>
    </w:p>
    <w:p>
      <w:pPr>
        <w:spacing w:after="200"/>
      </w:pPr>
      <w:r>
        <w:rPr>
          <w:rFonts w:ascii="Arial" w:hAnsi="Arial"/>
          <w:b w:val="0"/>
          <w:i/>
          <w:color w:val="6B7A99"/>
          <w:sz w:val="20"/>
        </w:rPr>
        <w:t>Status: Kvarstår</w:t>
      </w:r>
    </w:p>
    <w:p>
      <w:pPr>
        <w:spacing w:after="160"/>
      </w:pPr>
      <w:r>
        <w:rPr>
          <w:rFonts w:ascii="Arial" w:hAnsi="Arial"/>
          <w:b w:val="0"/>
          <w:i w:val="0"/>
          <w:sz w:val="22"/>
        </w:rPr>
        <w:t>Flera klausuler är ensidigt formulerade till näringsidkarens fördel på ett sätt som kan prövas enligt Lagen (1994:1512) om avtalsvillkor i konsumentförhållanden eller 36 § avtalslagen, särskilt eftersom avtalet är ett icke-förhandlat standardavtal riktat mot konsumenter:</w:t>
      </w:r>
    </w:p>
    <w:p>
      <w:pPr>
        <w:pStyle w:val="ListBullet"/>
      </w:pPr>
      <w:r>
        <w:rPr>
          <w:rFonts w:ascii="Arial" w:hAnsi="Arial"/>
          <w:sz w:val="21"/>
        </w:rPr>
        <w:t>Ansvarsbegränsning till lägst 500 kr eller 3 månaders avgift — en mycket låg nivå som, i kombination med en blankett friskrivning från indirekta skador, kan bedömas som oskäligt betungande om skadan orsakats av grov vårdslöshet eller uppsåt (sådant ansvar kan normalt inte begränsas genom avtal).</w:t>
      </w:r>
    </w:p>
    <w:p>
      <w:pPr>
        <w:pStyle w:val="ListBullet"/>
      </w:pPr>
      <w:r>
        <w:rPr>
          <w:rFonts w:ascii="Arial" w:hAnsi="Arial"/>
          <w:sz w:val="21"/>
        </w:rPr>
        <w:t>Ensidig rätt att ändra villkoren med endast 14 dagars avisering, utan att uttryckligen ge kunden rätt att säga upp avtalet utan kostnad om denne inte accepterar ändringen — standardpraxis och god sed kräver normalt en sådan uppsägningsrätt för att en ensidig ändringsklausul ska anses skälig.</w:t>
      </w:r>
    </w:p>
    <w:p>
      <w:pPr>
        <w:pStyle w:val="ListBullet"/>
      </w:pPr>
      <w:r>
        <w:rPr>
          <w:rFonts w:ascii="Arial" w:hAnsi="Arial"/>
          <w:sz w:val="21"/>
        </w:rPr>
        <w:t>Total friskrivning från ansvar vid nedläggning av tjänsten ("utan krav på återbetalning... eller annan kompensation") kombinerat med rätten att lägga ned tjänsten "när som helst, utan föregående meddelande" — denna kombination är den typ av "totalt ensidig" riskfördelning som Konsumentverket historiskt granskat i liknande digitala abonnemangstjänster.</w:t>
      </w:r>
    </w:p>
    <w:p>
      <w:pPr>
        <w:spacing w:after="80"/>
      </w:pPr>
      <w:r>
        <w:rPr>
          <w:rFonts w:ascii="Arial" w:hAnsi="Arial"/>
          <w:b/>
          <w:i w:val="0"/>
          <w:sz w:val="22"/>
        </w:rPr>
        <w:t>Rekommendation:</w:t>
      </w:r>
    </w:p>
    <w:p>
      <w:pPr>
        <w:spacing w:after="160"/>
      </w:pPr>
      <w:r>
        <w:rPr>
          <w:rFonts w:ascii="Arial" w:hAnsi="Arial"/>
          <w:b w:val="0"/>
          <w:i w:val="0"/>
          <w:sz w:val="22"/>
        </w:rPr>
        <w:t>Detta innebär inte att klausulerna måste tas bort, men att BliGlömd bör vara medveten om att en domstol kan JÄMKA (moderera) — inte bara ogiltigförklara i sin helhet — en klausul som bedöms för långtgående. Att lägga till en uppsägningsrätt vid villkorsändring (se F6) och en reservation för grov vårdslöshet/uppsåt i ansvarsbegränsningen minskar denna risk konkret.</w:t>
      </w:r>
    </w:p>
    <w:p>
      <w:pPr>
        <w:pStyle w:val="Heading2"/>
      </w:pPr>
      <w:r>
        <w:rPr>
          <w:rFonts w:ascii="Arial" w:hAnsi="Arial"/>
          <w:color w:val="1B2640"/>
        </w:rPr>
        <w:t xml:space="preserve">F5 — Saknad obligatorisk näringsidkarinformation  </w:t>
      </w:r>
      <w:r>
        <w:rPr>
          <w:rFonts w:ascii="Arial" w:hAnsi="Arial"/>
          <w:color w:val="92400E"/>
        </w:rPr>
        <w:t>[MEDEL/LÅG]</w:t>
      </w:r>
    </w:p>
    <w:p>
      <w:pPr>
        <w:spacing w:after="200"/>
      </w:pPr>
      <w:r>
        <w:rPr>
          <w:rFonts w:ascii="Arial" w:hAnsi="Arial"/>
          <w:b w:val="0"/>
          <w:i/>
          <w:color w:val="6B7A99"/>
          <w:sz w:val="20"/>
        </w:rPr>
        <w:t>Status: Kvarstår — enkel textfix, men juridiskt obligatorisk</w:t>
      </w:r>
    </w:p>
    <w:p>
      <w:pPr>
        <w:spacing w:after="160"/>
      </w:pPr>
      <w:r>
        <w:rPr>
          <w:rFonts w:ascii="Arial" w:hAnsi="Arial"/>
          <w:b w:val="0"/>
          <w:i w:val="0"/>
          <w:sz w:val="22"/>
        </w:rPr>
        <w:t>Lagen (2002:562) om elektronisk handel §§ 8–10 kräver att en näringsidkare som erbjuder tjänster online tydligt anger bland annat namn, geografisk adress, och — i förekommande fall — registreringsnummer och momsregistreringsnummer, tillgängligt för konsumenten innan avtal ingås.</w:t>
      </w:r>
    </w:p>
    <w:p>
      <w:pPr>
        <w:spacing w:after="160"/>
      </w:pPr>
      <w:r>
        <w:rPr>
          <w:rFonts w:ascii="Arial" w:hAnsi="Arial"/>
          <w:b w:val="0"/>
          <w:i w:val="0"/>
          <w:sz w:val="22"/>
        </w:rPr>
        <w:t>Granskning av hela kodbasen visar att varken en fysisk/registrerad adress eller ett organisationsnummer anges någonstans på webbplatsen — endast namnet "Thorsten Grund, enskild firma" och en e-postadress.</w:t>
      </w:r>
    </w:p>
    <w:p>
      <w:pPr>
        <w:spacing w:after="80"/>
      </w:pPr>
      <w:r>
        <w:rPr>
          <w:rFonts w:ascii="Arial" w:hAnsi="Arial"/>
          <w:b/>
          <w:i w:val="0"/>
          <w:sz w:val="22"/>
        </w:rPr>
        <w:t>Rekommendation:</w:t>
      </w:r>
    </w:p>
    <w:p>
      <w:pPr>
        <w:spacing w:after="160"/>
      </w:pPr>
      <w:r>
        <w:rPr>
          <w:rFonts w:ascii="Arial" w:hAnsi="Arial"/>
          <w:b w:val="0"/>
          <w:i w:val="0"/>
          <w:sz w:val="22"/>
        </w:rPr>
        <w:t>Lägg till näringsidkarens registrerade adress (kan vara en c/o-adress om så önskas av integritetsskäl) och organisationsnummer i Köpavtalets avsnitt 1 samt i sidfoten.</w:t>
      </w:r>
    </w:p>
    <w:p>
      <w:pPr>
        <w:pStyle w:val="Heading2"/>
      </w:pPr>
      <w:r>
        <w:rPr>
          <w:rFonts w:ascii="Arial" w:hAnsi="Arial"/>
          <w:color w:val="1B2640"/>
        </w:rPr>
        <w:t xml:space="preserve">F6 — Ingen uppsägningsrätt vid ensidig villkorsändring  </w:t>
      </w:r>
      <w:r>
        <w:rPr>
          <w:rFonts w:ascii="Arial" w:hAnsi="Arial"/>
          <w:color w:val="156C35"/>
        </w:rPr>
        <w:t>[LÅG]</w:t>
      </w:r>
    </w:p>
    <w:p>
      <w:pPr>
        <w:spacing w:after="200"/>
      </w:pPr>
      <w:r>
        <w:rPr>
          <w:rFonts w:ascii="Arial" w:hAnsi="Arial"/>
          <w:b w:val="0"/>
          <w:i/>
          <w:color w:val="6B7A99"/>
          <w:sz w:val="20"/>
        </w:rPr>
        <w:t>Status: Kvarstår — enkel textfix</w:t>
      </w:r>
    </w:p>
    <w:p>
      <w:pPr>
        <w:spacing w:after="160"/>
      </w:pPr>
      <w:r>
        <w:rPr>
          <w:rFonts w:ascii="Arial" w:hAnsi="Arial"/>
          <w:b w:val="0"/>
          <w:i w:val="0"/>
          <w:sz w:val="22"/>
        </w:rPr>
        <w:t>Avsnitt 10 anger att fortsatt användning efter en ändring innebär godkännande, men ger ingen uttrycklig rätt att säga upp abonnemanget utan kostnad om kunden inte accepterar ändringen.</w:t>
      </w:r>
    </w:p>
    <w:p>
      <w:pPr>
        <w:spacing w:after="80"/>
      </w:pPr>
      <w:r>
        <w:rPr>
          <w:rFonts w:ascii="Arial" w:hAnsi="Arial"/>
          <w:b/>
          <w:i w:val="0"/>
          <w:sz w:val="21"/>
        </w:rPr>
        <w:t>Föreslagen text (kräver juridisk granskning innan publicering):</w:t>
      </w:r>
    </w:p>
    <w:p>
      <w:pPr>
        <w:spacing w:after="160"/>
        <w:ind w:left="504"/>
      </w:pPr>
      <w:r>
        <w:rPr>
          <w:rFonts w:ascii="Arial" w:hAnsi="Arial"/>
          <w:i/>
          <w:color w:val="6B7A99"/>
          <w:sz w:val="21"/>
        </w:rPr>
        <w:t>"Om Kunden inte accepterar en väsentlig ändring har Kunden rätt att säga upp sitt abonnemang utan kostnad inom 14 dagar från aviseringen, med verkan från och med nästa betalningsperiod."</w:t>
      </w:r>
    </w:p>
    <w:p>
      <w:pPr>
        <w:pStyle w:val="Heading2"/>
      </w:pPr>
      <w:r>
        <w:rPr>
          <w:rFonts w:ascii="Arial" w:hAnsi="Arial"/>
          <w:color w:val="1B2640"/>
        </w:rPr>
        <w:t xml:space="preserve">F7 — Endast den svenska versionen är angiven som bindande, trots aktiv engelsk tjänst  </w:t>
      </w:r>
      <w:r>
        <w:rPr>
          <w:rFonts w:ascii="Arial" w:hAnsi="Arial"/>
          <w:color w:val="156C35"/>
        </w:rPr>
        <w:t>[LÅG]</w:t>
      </w:r>
    </w:p>
    <w:p>
      <w:pPr>
        <w:spacing w:after="200"/>
      </w:pPr>
      <w:r>
        <w:rPr>
          <w:rFonts w:ascii="Arial" w:hAnsi="Arial"/>
          <w:b w:val="0"/>
          <w:i/>
          <w:color w:val="6B7A99"/>
          <w:sz w:val="20"/>
        </w:rPr>
        <w:t>Status: Kvarstår — informationsfråga</w:t>
      </w:r>
    </w:p>
    <w:p>
      <w:pPr>
        <w:spacing w:after="160"/>
      </w:pPr>
      <w:r>
        <w:rPr>
          <w:rFonts w:ascii="Arial" w:hAnsi="Arial"/>
          <w:b w:val="0"/>
          <w:i w:val="0"/>
          <w:sz w:val="22"/>
        </w:rPr>
        <w:t>Webbplatsen erbjuder ett fullständigt engelskt gränssnitt och en engelsk översättning av Köpavtalet, men anger att "den svenska versionen är juridiskt bindande". En engelskspråkig konsument som aktivt väljer och litar på den engelska versionen kan hävda att denne inte fått avtalsvillkoren på ett sätt denne kunde förväntas förstå, vilket är ett transparenskrav enligt både Distansavtalslagen och allmänna avtalsrättsliga principer.</w:t>
      </w:r>
    </w:p>
    <w:p>
      <w:pPr>
        <w:spacing w:after="80"/>
      </w:pPr>
      <w:r>
        <w:rPr>
          <w:rFonts w:ascii="Arial" w:hAnsi="Arial"/>
          <w:b/>
          <w:i w:val="0"/>
          <w:sz w:val="22"/>
        </w:rPr>
        <w:t>Rekommendation:</w:t>
      </w:r>
    </w:p>
    <w:p>
      <w:pPr>
        <w:spacing w:after="160"/>
      </w:pPr>
      <w:r>
        <w:rPr>
          <w:rFonts w:ascii="Arial" w:hAnsi="Arial"/>
          <w:b w:val="0"/>
          <w:i w:val="0"/>
          <w:sz w:val="22"/>
        </w:rPr>
        <w:t>Antingen behåll klausulen men se till att den engelska översättningen är fullständigt likvärdig i sak (vilket den för närvarande verkar vara), eller överväg att låta båda versionerna vara bindande för respektive språkval, för att undvika en invändning om bristande transparens.</w:t>
      </w:r>
    </w:p>
    <w:p>
      <w:r>
        <w:br w:type="page"/>
      </w:r>
    </w:p>
    <w:p>
      <w:pPr>
        <w:pStyle w:val="Heading1"/>
      </w:pPr>
      <w:r>
        <w:rPr>
          <w:rFonts w:ascii="Arial" w:hAnsi="Arial"/>
          <w:color w:val="1B2640"/>
        </w:rPr>
        <w:t>4. Vad som redan fungerar bra</w:t>
      </w:r>
    </w:p>
    <w:p>
      <w:pPr>
        <w:pStyle w:val="ListBullet"/>
      </w:pPr>
      <w:r>
        <w:rPr>
          <w:rFonts w:ascii="Arial" w:hAnsi="Arial"/>
          <w:sz w:val="22"/>
        </w:rPr>
        <w:t>Samtyckesmekanismen vid köp (ConsentModal + consent_records-tabellen) fångar uttryckligt, aktivt samtycke till omedelbar leverans och ångerrättsavstående — precis vad Distansavtalslagen 2 kap. 11 § kräver för att avståendet ska vara giltigt. Den enda bristen är att bekräftelsen inte SKICKAS till kunden (se F3) — själva insamlingen av samtycket är korrekt utförd.</w:t>
      </w:r>
    </w:p>
    <w:p>
      <w:pPr>
        <w:pStyle w:val="ListBullet"/>
      </w:pPr>
      <w:r>
        <w:rPr>
          <w:rFonts w:ascii="Arial" w:hAnsi="Arial"/>
          <w:sz w:val="22"/>
        </w:rPr>
        <w:t>Varningsrutan högst upp på sidan ("Denna tjänst levereras utan garantier...") är ett bra exempel på tydlig, framträdande information innan köp, vilket stärker transparensargumentet generellt.</w:t>
      </w:r>
    </w:p>
    <w:p>
      <w:pPr>
        <w:pStyle w:val="ListBullet"/>
      </w:pPr>
      <w:r>
        <w:rPr>
          <w:rFonts w:ascii="Arial" w:hAnsi="Arial"/>
          <w:sz w:val="22"/>
        </w:rPr>
        <w:t>Versionshantering (TERMS_VERSION, tidsstämplade databassnapshots) ger ett gott bevisläge för vilken avtalsversion en viss kund faktiskt godkände — bättre spårbarhet än vad många jämförbara tjänster har.</w:t>
      </w:r>
    </w:p>
    <w:p>
      <w:pPr>
        <w:pStyle w:val="ListBullet"/>
      </w:pPr>
      <w:r>
        <w:rPr>
          <w:rFonts w:ascii="Arial" w:hAnsi="Arial"/>
          <w:sz w:val="22"/>
        </w:rPr>
        <w:t>Prisjusteringsklausulen (14 dagars avisering) är rimligt utformad och i linje med branschpraxis.</w:t>
      </w:r>
    </w:p>
    <w:p>
      <w:pPr>
        <w:pStyle w:val="ListBullet"/>
      </w:pPr>
      <w:r>
        <w:rPr>
          <w:rFonts w:ascii="Arial" w:hAnsi="Arial"/>
          <w:sz w:val="22"/>
        </w:rPr>
        <w:t>Immaterialrättsavsnittet och den begränsade licensen är standardmässigt och juridiskt hållbart.</w:t>
      </w:r>
    </w:p>
    <w:p>
      <w:r>
        <w:br w:type="page"/>
      </w:r>
    </w:p>
    <w:p>
      <w:pPr>
        <w:pStyle w:val="Heading1"/>
      </w:pPr>
      <w:r>
        <w:rPr>
          <w:rFonts w:ascii="Arial" w:hAnsi="Arial"/>
          <w:color w:val="1B2640"/>
        </w:rPr>
        <w:t>5. Kvarstående åtgärder</w:t>
      </w:r>
    </w:p>
    <w:tbl>
      <w:tblPr>
        <w:tblW w:type="auto" w:w="0"/>
        <w:tblLook w:firstColumn="1" w:firstRow="1" w:lastColumn="0" w:lastRow="0" w:noHBand="0" w:noVBand="1" w:val="04A0"/>
      </w:tblPr>
      <w:tblGrid>
        <w:gridCol w:w="3120"/>
        <w:gridCol w:w="3120"/>
        <w:gridCol w:w="3120"/>
      </w:tblGrid>
      <w:tr>
        <w:tc>
          <w:tcPr>
            <w:tcW w:type="dxa" w:w="5184"/>
            <w:shd w:val="clear" w:color="auto" w:fill="1E3A8A"/>
          </w:tcPr>
          <w:p>
            <w:r>
              <w:rPr>
                <w:rFonts w:ascii="Arial" w:hAnsi="Arial"/>
                <w:b/>
                <w:color w:val="FFFFFF"/>
                <w:sz w:val="20"/>
              </w:rPr>
              <w:t>Åtgärd</w:t>
            </w:r>
          </w:p>
        </w:tc>
        <w:tc>
          <w:tcPr>
            <w:tcW w:type="dxa" w:w="2304"/>
            <w:shd w:val="clear" w:color="auto" w:fill="1E3A8A"/>
          </w:tcPr>
          <w:p>
            <w:r>
              <w:rPr>
                <w:rFonts w:ascii="Arial" w:hAnsi="Arial"/>
                <w:b/>
                <w:color w:val="FFFFFF"/>
                <w:sz w:val="20"/>
              </w:rPr>
              <w:t>Typ</w:t>
            </w:r>
          </w:p>
        </w:tc>
        <w:tc>
          <w:tcPr>
            <w:tcW w:type="dxa" w:w="1728"/>
            <w:shd w:val="clear" w:color="auto" w:fill="1E3A8A"/>
          </w:tcPr>
          <w:p>
            <w:r>
              <w:rPr>
                <w:rFonts w:ascii="Arial" w:hAnsi="Arial"/>
                <w:b/>
                <w:color w:val="FFFFFF"/>
                <w:sz w:val="20"/>
              </w:rPr>
              <w:t>Prioritet</w:t>
            </w:r>
          </w:p>
        </w:tc>
      </w:tr>
      <w:tr>
        <w:tc>
          <w:tcPr>
            <w:tcW w:type="dxa" w:w="5184"/>
          </w:tcPr>
          <w:p>
            <w:r>
              <w:rPr>
                <w:rFonts w:ascii="Arial" w:hAnsi="Arial"/>
                <w:sz w:val="19"/>
              </w:rPr>
              <w:t>Lägg till reservation för tvingande konsumenträtt i återbetalnings-/garantiklausulerna (F1)</w:t>
            </w:r>
          </w:p>
        </w:tc>
        <w:tc>
          <w:tcPr>
            <w:tcW w:type="dxa" w:w="2304"/>
          </w:tcPr>
          <w:p>
            <w:r>
              <w:rPr>
                <w:rFonts w:ascii="Arial" w:hAnsi="Arial"/>
                <w:sz w:val="19"/>
              </w:rPr>
              <w:t>Textändring</w:t>
            </w:r>
          </w:p>
        </w:tc>
        <w:tc>
          <w:tcPr>
            <w:tcW w:type="dxa" w:w="1728"/>
          </w:tcPr>
          <w:p>
            <w:r>
              <w:rPr>
                <w:rFonts w:ascii="Arial" w:hAnsi="Arial"/>
                <w:b/>
                <w:color w:val="B91C1C"/>
                <w:sz w:val="19"/>
              </w:rPr>
              <w:t>Hög</w:t>
            </w:r>
          </w:p>
        </w:tc>
      </w:tr>
      <w:tr>
        <w:tc>
          <w:tcPr>
            <w:tcW w:type="dxa" w:w="5184"/>
          </w:tcPr>
          <w:p>
            <w:r>
              <w:rPr>
                <w:rFonts w:ascii="Arial" w:hAnsi="Arial"/>
                <w:sz w:val="19"/>
              </w:rPr>
              <w:t>Skicka orderbekräftelse + ångerrättsbekräftelse via e-post efter köp (F3)</w:t>
            </w:r>
          </w:p>
        </w:tc>
        <w:tc>
          <w:tcPr>
            <w:tcW w:type="dxa" w:w="2304"/>
          </w:tcPr>
          <w:p>
            <w:r>
              <w:rPr>
                <w:rFonts w:ascii="Arial" w:hAnsi="Arial"/>
                <w:sz w:val="19"/>
              </w:rPr>
              <w:t>Kodändring</w:t>
            </w:r>
          </w:p>
        </w:tc>
        <w:tc>
          <w:tcPr>
            <w:tcW w:type="dxa" w:w="1728"/>
          </w:tcPr>
          <w:p>
            <w:r>
              <w:rPr>
                <w:rFonts w:ascii="Arial" w:hAnsi="Arial"/>
                <w:b/>
                <w:color w:val="92400E"/>
                <w:sz w:val="19"/>
              </w:rPr>
              <w:t>Medel</w:t>
            </w:r>
          </w:p>
        </w:tc>
      </w:tr>
      <w:tr>
        <w:tc>
          <w:tcPr>
            <w:tcW w:type="dxa" w:w="5184"/>
          </w:tcPr>
          <w:p>
            <w:r>
              <w:rPr>
                <w:rFonts w:ascii="Arial" w:hAnsi="Arial"/>
                <w:sz w:val="19"/>
              </w:rPr>
              <w:t>Lägg till uppsägningsrätt vid ensidig villkorsändring (F6)</w:t>
            </w:r>
          </w:p>
        </w:tc>
        <w:tc>
          <w:tcPr>
            <w:tcW w:type="dxa" w:w="2304"/>
          </w:tcPr>
          <w:p>
            <w:r>
              <w:rPr>
                <w:rFonts w:ascii="Arial" w:hAnsi="Arial"/>
                <w:sz w:val="19"/>
              </w:rPr>
              <w:t>Textändring</w:t>
            </w:r>
          </w:p>
        </w:tc>
        <w:tc>
          <w:tcPr>
            <w:tcW w:type="dxa" w:w="1728"/>
          </w:tcPr>
          <w:p>
            <w:r>
              <w:rPr>
                <w:rFonts w:ascii="Arial" w:hAnsi="Arial"/>
                <w:b/>
                <w:color w:val="156C35"/>
                <w:sz w:val="19"/>
              </w:rPr>
              <w:t>Låg</w:t>
            </w:r>
          </w:p>
        </w:tc>
      </w:tr>
      <w:tr>
        <w:tc>
          <w:tcPr>
            <w:tcW w:type="dxa" w:w="5184"/>
          </w:tcPr>
          <w:p>
            <w:r>
              <w:rPr>
                <w:rFonts w:ascii="Arial" w:hAnsi="Arial"/>
                <w:sz w:val="19"/>
              </w:rPr>
              <w:t>Lägg till registrerad adress + organisationsnummer (F5)</w:t>
            </w:r>
          </w:p>
        </w:tc>
        <w:tc>
          <w:tcPr>
            <w:tcW w:type="dxa" w:w="2304"/>
          </w:tcPr>
          <w:p>
            <w:r>
              <w:rPr>
                <w:rFonts w:ascii="Arial" w:hAnsi="Arial"/>
                <w:sz w:val="19"/>
              </w:rPr>
              <w:t>Textändring</w:t>
            </w:r>
          </w:p>
        </w:tc>
        <w:tc>
          <w:tcPr>
            <w:tcW w:type="dxa" w:w="1728"/>
          </w:tcPr>
          <w:p>
            <w:r>
              <w:rPr>
                <w:rFonts w:ascii="Arial" w:hAnsi="Arial"/>
                <w:b/>
                <w:color w:val="92400E"/>
                <w:sz w:val="19"/>
              </w:rPr>
              <w:t>Medel</w:t>
            </w:r>
          </w:p>
        </w:tc>
      </w:tr>
      <w:tr>
        <w:tc>
          <w:tcPr>
            <w:tcW w:type="dxa" w:w="5184"/>
          </w:tcPr>
          <w:p>
            <w:r>
              <w:rPr>
                <w:rFonts w:ascii="Arial" w:hAnsi="Arial"/>
                <w:sz w:val="19"/>
              </w:rPr>
              <w:t>Överväg reservation för grov vårdslöshet/uppsåt i ansvarsbegränsningen (F4)</w:t>
            </w:r>
          </w:p>
        </w:tc>
        <w:tc>
          <w:tcPr>
            <w:tcW w:type="dxa" w:w="2304"/>
          </w:tcPr>
          <w:p>
            <w:r>
              <w:rPr>
                <w:rFonts w:ascii="Arial" w:hAnsi="Arial"/>
                <w:sz w:val="19"/>
              </w:rPr>
              <w:t>Textändring</w:t>
            </w:r>
          </w:p>
        </w:tc>
        <w:tc>
          <w:tcPr>
            <w:tcW w:type="dxa" w:w="1728"/>
          </w:tcPr>
          <w:p>
            <w:r>
              <w:rPr>
                <w:rFonts w:ascii="Arial" w:hAnsi="Arial"/>
                <w:b/>
                <w:color w:val="92400E"/>
                <w:sz w:val="19"/>
              </w:rPr>
              <w:t>Medel</w:t>
            </w:r>
          </w:p>
        </w:tc>
      </w:tr>
      <w:tr>
        <w:tc>
          <w:tcPr>
            <w:tcW w:type="dxa" w:w="5184"/>
          </w:tcPr>
          <w:p>
            <w:r>
              <w:rPr>
                <w:rFonts w:ascii="Arial" w:hAnsi="Arial"/>
                <w:sz w:val="19"/>
              </w:rPr>
              <w:t>Låt en auktoriserad svensk jurist granska hela Köpavtalet, särskilt F1 och F4</w:t>
            </w:r>
          </w:p>
        </w:tc>
        <w:tc>
          <w:tcPr>
            <w:tcW w:type="dxa" w:w="2304"/>
          </w:tcPr>
          <w:p>
            <w:r>
              <w:rPr>
                <w:rFonts w:ascii="Arial" w:hAnsi="Arial"/>
                <w:sz w:val="19"/>
              </w:rPr>
              <w:t>Juridisk granskning</w:t>
            </w:r>
          </w:p>
        </w:tc>
        <w:tc>
          <w:tcPr>
            <w:tcW w:type="dxa" w:w="1728"/>
          </w:tcPr>
          <w:p>
            <w:r>
              <w:rPr>
                <w:rFonts w:ascii="Arial" w:hAnsi="Arial"/>
                <w:b/>
                <w:color w:val="B91C1C"/>
                <w:sz w:val="19"/>
              </w:rPr>
              <w:t>Hög</w:t>
            </w:r>
          </w:p>
        </w:tc>
      </w:tr>
    </w:tbl>
    <w:p>
      <w:pPr>
        <w:spacing w:after="320"/>
      </w:pPr>
      <w:r>
        <w:rPr>
          <w:rFonts w:ascii="Arial" w:hAnsi="Arial"/>
          <w:b w:val="0"/>
          <w:i w:val="0"/>
          <w:sz w:val="22"/>
        </w:rPr>
      </w:r>
    </w:p>
    <w:p>
      <w:pPr>
        <w:spacing w:after="160"/>
      </w:pPr>
      <w:r>
        <w:rPr>
          <w:rFonts w:ascii="Arial" w:hAnsi="Arial"/>
          <w:b w:val="0"/>
          <w:i/>
          <w:color w:val="6B7A99"/>
          <w:sz w:val="20"/>
        </w:rPr>
        <w:t>Sammanfattningsvis: Köpavtalet är väl skrivet ur ett läsbarhets- och transparensperspektiv, men bygger på flera antaganden om avtalsfrihet som inte fullt ut håller mot tvingande svensk konsumenträtt. Detta är normalt för standardavtal som inte granskats av en jurist specialiserad på konsumenträtt, och åtgärdas relativt enkelt genom riktade tillägg snarare än en fullständig omskrivning. Given den faktiska ekonomiska exponeringen bör F1 och F4 valideras av en auktoriserad jurist innan de betraktas som slutgiltigt lösta.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