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Programmierleitfaden (aus Systemverhalten abgeleitet)</w:t>
      </w:r>
    </w:p>
    <w:p>
      <w:r>
        <w:t>Ziel: Dieses Dokument beschreibt, wie die Plattform korrekt implementiert wird, ohne neue Logik zu erfinden. Es leitet technische Konsequenzen aus dem normativen Dokument 'SPTC_Systemverhalten_DE.docx' ab.</w:t>
      </w:r>
    </w:p>
    <w:p>
      <w:r/>
    </w:p>
    <w:p>
      <w:r>
        <w:t>1. Architekturprinzip</w:t>
      </w:r>
    </w:p>
    <w:p>
      <w:r>
        <w:t>- Implementiere die Plattform als zustandsgetriebenes System (State Machine) pro Handel (Trade).</w:t>
      </w:r>
    </w:p>
    <w:p>
      <w:r>
        <w:t>- Erzwinge Invarianten zentral (Domain Layer), nicht in der UI.</w:t>
      </w:r>
    </w:p>
    <w:p>
      <w:r>
        <w:t>- Parameter (Trigger-Abstände, Zykluszeiten, Mindesthaltezeiten) sind Konfiguration und müssen versioniert, prospektiv und leicht änderbar sein, ohne MOS-Logik zu berühren.</w:t>
      </w:r>
    </w:p>
    <w:p>
      <w:r/>
    </w:p>
    <w:p>
      <w:r>
        <w:t>2. Kern-Domänenobjekte (Minimum)</w:t>
      </w:r>
    </w:p>
    <w:p>
      <w:r>
        <w:t>- Participant (Marktteilnehmer): handelberechtigt erst nach Realwelt-Autorisierung und physischer Hinterlegung.</w:t>
      </w:r>
    </w:p>
    <w:p>
      <w:r>
        <w:t>- CustodyLot (Lagerposition): physische Bestände, eindeutig zugeordnet; führt virtuelle 1g-Fragmentierung.</w:t>
      </w:r>
    </w:p>
    <w:p>
      <w:r>
        <w:t>- Fragment (1g-Einheit): kleinste handelbare Einheit; darf nie doppelt gebunden werden.</w:t>
      </w:r>
    </w:p>
    <w:p>
      <w:r>
        <w:t>- Trade (Handel): enthält Rolle (Gold/Silber), Einsatz=100%, Laufzeit, Mindesthaltezeit, Zyklus, Tranchen.</w:t>
      </w:r>
    </w:p>
    <w:p>
      <w:r>
        <w:t>- Tranche: Gewichtung (User), Trigger (GSR-Schwelle + Richtung), Status (gesetzt/ausgelöst/verfallen).</w:t>
      </w:r>
    </w:p>
    <w:p>
      <w:r>
        <w:t>- EventLog: revisionssichere Ereignisse (Setzen, Trigger-Auslösung, BG-Aktivierung, MOS-Start, ENM-Start).</w:t>
      </w:r>
    </w:p>
    <w:p>
      <w:r/>
    </w:p>
    <w:p>
      <w:r>
        <w:t>3. Zustandsautomat pro Trade (empfohlen)</w:t>
      </w:r>
    </w:p>
    <w:p>
      <w:r>
        <w:t>DRAFT -&gt; ACTIVE (gebunden) -&gt; PARTIALLY_EXECUTED (mind. 1 Tranche ausgelöst) -&gt; COMPLETED/EXPIRED</w:t>
      </w:r>
    </w:p>
    <w:p>
      <w:r>
        <w:t>Sonderzustände: BREAKING_GLASS_EXECUTED, MOS_PENDING, MOS_DECIDED, ENM_PAUSED (plattformweit).</w:t>
      </w:r>
    </w:p>
    <w:p>
      <w:r/>
    </w:p>
    <w:p>
      <w:r>
        <w:t>4. Trigger-Auslösung &amp; Preis</w:t>
      </w:r>
    </w:p>
    <w:p>
      <w:r>
        <w:t>- Trigger wird durch Unterschreiten/Überschreiten des GSR ausgelöst (richtungsabhängig).</w:t>
      </w:r>
    </w:p>
    <w:p>
      <w:r>
        <w:t>- Bei Auslösung wird der aktuelle Marktpreis herangezogen (Preis zum Ereigniszeitpunkt).</w:t>
      </w:r>
    </w:p>
    <w:p>
      <w:r>
        <w:t>- Steuerlich relevantes Ereignis: Differenz GSR beim Setzen vs. GSR bei Auslösung; speichere beide Werte unveränderlich im Event.</w:t>
      </w:r>
    </w:p>
    <w:p>
      <w:r/>
    </w:p>
    <w:p>
      <w:r>
        <w:t>5. Gebührenmodell (metallbasiert)</w:t>
      </w:r>
    </w:p>
    <w:p>
      <w:r>
        <w:t>- Keine Schnittstelle zu Banken/gesetzlichem Zahlungsmittel für Nutzer.</w:t>
      </w:r>
    </w:p>
    <w:p>
      <w:r>
        <w:t>- Fixkosten: Lagergebühr (außer kostenlose Konten).</w:t>
      </w:r>
    </w:p>
    <w:p>
      <w:r>
        <w:t>- Variable Gebühr: prozentualer Anteil bei jeder Trigger-Auslösung (nicht beim Setzen, nicht bei verfallenen Tranchen).</w:t>
      </w:r>
    </w:p>
    <w:p>
      <w:r>
        <w:t>- Abrechnung immer im Metall, das im Trade zufließt.</w:t>
      </w:r>
    </w:p>
    <w:p>
      <w:r/>
    </w:p>
    <w:p>
      <w:r>
        <w:t>6. Breaking Glass (BG)</w:t>
      </w:r>
    </w:p>
    <w:p>
      <w:r>
        <w:t>- BG ist nur aktiv, wenn ein Marktverwerfungs-Flag gesetzt ist (Signal/Policy; Referenz z.B. Börse/Futures).</w:t>
      </w:r>
    </w:p>
    <w:p>
      <w:r>
        <w:t>- BG kann (optional) durch die berechtigte Partei pro Trade ausgelöst werden.</w:t>
      </w:r>
    </w:p>
    <w:p>
      <w:r>
        <w:t>- Wirkung: alle Tranchen werden so ausgeführt, als wären ihre Trigger regulär erreicht. Implementiere dies als Batch von Tranche-Execution-Events mit den jeweiligen Triggerpreisen.</w:t>
      </w:r>
    </w:p>
    <w:p>
      <w:r>
        <w:t>- BG ersetzt kein Lagermanagement: prüfe Verfügbarkeit/Zuordnung der Fragmente vor Ausführung.</w:t>
      </w:r>
    </w:p>
    <w:p>
      <w:r/>
    </w:p>
    <w:p>
      <w:r>
        <w:t>7. MOS (Market Order Settlement)</w:t>
      </w:r>
    </w:p>
    <w:p>
      <w:r>
        <w:t>- MOS kann von jedem Beteiligten pro Trade angefordert werden.</w:t>
      </w:r>
    </w:p>
    <w:p>
      <w:r>
        <w:t>- MOS entscheidet ausschließlich: Trade zulässig (Ja/Nein) anhand OU/Regelwerk.</w:t>
      </w:r>
    </w:p>
    <w:p>
      <w:r>
        <w:t>- Entscheidungsinstanz: Pool unbeteiligter handelberechtigter Marktteilnehmer; anonymisiert; keine Regelkonsequenz.</w:t>
      </w:r>
    </w:p>
    <w:p>
      <w:r>
        <w:t>- MOS-Logik ist eingefroren und darf nicht einseitig geändert werden. Parameteränderungen (Trigger/Zyklus/Zeiten) sind davon getrennt.</w:t>
      </w:r>
    </w:p>
    <w:p>
      <w:r/>
    </w:p>
    <w:p>
      <w:r>
        <w:t>8. ENM (Not-Aus)</w:t>
      </w:r>
    </w:p>
    <w:p>
      <w:r>
        <w:t>- ENM kann vom Staat oder Betreiber ausgelöst werden.</w:t>
      </w:r>
    </w:p>
    <w:p>
      <w:r>
        <w:t>- ENM-Pool entscheidet ausschließlich: Plattform handel an/aus (nicht bindend, Staatsrecht hat Vorrang).</w:t>
      </w:r>
    </w:p>
    <w:p>
      <w:r>
        <w:t>- Governance-Notfall: Wenn MOS ohne Zustimmung geändert würde -&gt; ENM auslösen (klassisches Beispiel).</w:t>
      </w:r>
    </w:p>
    <w:p>
      <w:r/>
    </w:p>
    <w:p>
      <w:r>
        <w:t>9. Lagerablauf &amp; Verwertung</w:t>
      </w:r>
    </w:p>
    <w:p>
      <w:r>
        <w:t>- Lager ist zeitlich begrenzt. Nach Ablauf + Kulanz: Benachrichtigung, danach Verkauf zum aktuellen Marktpreis in gesetzlichem Zahlungsmittel; Erlös nach Kosten an ehemaligen Besitzer.</w:t>
      </w:r>
    </w:p>
    <w:p>
      <w:r>
        <w:t>- Dieser Prozess ist getrennt vom Handelsmechanismus (kein Trigger, kein MOS/ENM).</w:t>
      </w:r>
    </w:p>
    <w:p>
      <w:r/>
    </w:p>
    <w:p>
      <w:r>
        <w:t>10. Teststrategie (Pflicht)</w:t>
      </w:r>
    </w:p>
    <w:p>
      <w:r>
        <w:t>- Property-Tests für Invarianten: keine Doppelbindung von 1g-Fragmenten; 100%-Einsatz; Richtung fix; Gebühr nur bei Trigger; BG nur bei Marktverwerfungs-Flag.</w:t>
      </w:r>
    </w:p>
    <w:p>
      <w:r>
        <w:t>- Reproduzierbarkeit: alle Entscheidungen/Preise/Triggerwerte als Events speicherbar und auditierbar.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