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TDS-Logik und technische Umsetzung</w:t>
      </w:r>
    </w:p>
    <w:p>
      <w:r/>
    </w:p>
    <w:p>
      <w:r>
        <w:t>Bei Tauschvorgängen von Edelmetall-Vermögenswerten über die Plattform wird eine Tax Deducted at Source (TDS)</w:t>
      </w:r>
    </w:p>
    <w:p>
      <w:r>
        <w:t>auf den steuerlich relevanten Transaktionswert erhoben, sofern gesetzlich vorgesehen.</w:t>
      </w:r>
    </w:p>
    <w:p>
      <w:r/>
    </w:p>
    <w:p>
      <w:r>
        <w:t>Die Plattform führt den TDS-Abzug automatisiert und regelbasiert im Rahmen der Transaktionsabwicklung durch.</w:t>
      </w:r>
    </w:p>
    <w:p>
      <w:r/>
    </w:p>
    <w:p>
      <w:r>
        <w:t>Die technische Umsetzung umfasst:</w:t>
      </w:r>
    </w:p>
    <w:p>
      <w:r>
        <w:t>- automatische Berechnung des TDS-Betrags</w:t>
      </w:r>
    </w:p>
    <w:p>
      <w:r>
        <w:t>- systemischen Abzug bei Transaktionsabschluss</w:t>
      </w:r>
    </w:p>
    <w:p>
      <w:r>
        <w:t>- vollständige Dokumentation (Brutto, TDS, Netto)</w:t>
      </w:r>
    </w:p>
    <w:p>
      <w:r>
        <w:t>- Bereitstellung von Steuerreports für Nutzer</w:t>
      </w:r>
    </w:p>
    <w:p>
      <w:r>
        <w:t>- Auditierbarkeit und Nachvollziehbarkeit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