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SPTC Implementierungs-Checkliste</w:t>
      </w:r>
    </w:p>
    <w:p>
      <w:r>
        <w:t>Diese Checkliste ist bindend für jede Implementierung.</w:t>
      </w:r>
    </w:p>
    <w:p>
      <w:r>
        <w:t>Keine Nutzung von gesetzlichem Zahlungsmittel.</w:t>
      </w:r>
    </w:p>
    <w:p>
      <w:r>
        <w:t>Kein Hebel, kein Margin, kein Pfand.</w:t>
      </w:r>
    </w:p>
    <w:p>
      <w:r>
        <w:t>100 Prozent Einsatz pro Handel.</w:t>
      </w:r>
    </w:p>
    <w:p>
      <w:r>
        <w:t>1-Gramm-Einheit als kleinste Handelseinheit.</w:t>
      </w:r>
    </w:p>
    <w:p>
      <w:r>
        <w:t>Breaking Glass, MOS und ENM strikt getrennt umsetzen.</w:t>
      </w:r>
    </w:p>
    <w:p>
      <w:r>
        <w:t>MOS-Logik darf nicht einseitig geändert werden.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