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– Custody &amp; Hub SOP v1.0</w:t>
      </w:r>
    </w:p>
    <w:p>
      <w:r>
        <w:t>Diese Standard Operating Procedures (SOP) definieren die verbindlichen operativen Abläufe zwischen physischer Edelmetall-Verwahrung (Hubs/Vaults) und der digitalen SPTC-Plattform. Sie schließen die Lücke zwischen physischer Realität und systemischer Wahrheit.</w:t>
      </w:r>
    </w:p>
    <w:p>
      <w:pPr>
        <w:pStyle w:val="Heading2"/>
      </w:pPr>
      <w:r>
        <w:t>1. Rollen &amp; Verantwortlichkeiten</w:t>
      </w:r>
    </w:p>
    <w:p>
      <w:r>
        <w:t>- Hub Operator: Physische Annahme, Verwahrung, Assay, Auslieferung</w:t>
        <w:br/>
        <w:t>- Custodian/Vault: Sicherung, Bestand, Inventur, Versicherung</w:t>
        <w:br/>
        <w:t>- SPTC System: Digitale Zustandsführung, Trigger, Audit, Steuerlogik</w:t>
        <w:br/>
        <w:t>- User: Ein- und Auslagerungsanträge, Eigentümer der Assets</w:t>
      </w:r>
    </w:p>
    <w:p>
      <w:pPr>
        <w:pStyle w:val="Heading2"/>
      </w:pPr>
      <w:r>
        <w:t>2. Einzahlung (Deposit) – End-to-End Ablauf</w:t>
      </w:r>
    </w:p>
    <w:p>
      <w:r>
        <w:t>1. User stellt DEPOSIT_REQUESTED über die Plattform.</w:t>
        <w:br/>
        <w:t>2. System prüft KYC-Status und Limits.</w:t>
        <w:br/>
        <w:t>3. Hub nimmt physisches Metall entgegen (Bag-ID, Seal-ID).</w:t>
        <w:br/>
        <w:t>4. Assay wird durchgeführt (Gewicht, Reinheit).</w:t>
        <w:br/>
        <w:t>5. Hub erfasst Startpreis (Hub-Referenzpreis).</w:t>
        <w:br/>
        <w:t>6. Bei bestandenem Assay: DEPOSIT_CONFIRMED.</w:t>
        <w:br/>
        <w:t>7. System löst BALANCE_CREDITED aus.</w:t>
        <w:br/>
        <w:t>8. Audit-Log wird unveränderlich geschrieben.</w:t>
      </w:r>
    </w:p>
    <w:p>
      <w:pPr>
        <w:pStyle w:val="Heading2"/>
      </w:pPr>
      <w:r>
        <w:t>3. Auszahlung (Withdrawal) – End-to-End Ablauf</w:t>
      </w:r>
    </w:p>
    <w:p>
      <w:r>
        <w:t>1. User stellt WITHDRAWAL_REQUESTED.</w:t>
        <w:br/>
        <w:t>2. System prüft verfügbaren Bestand und reserviert Asset.</w:t>
        <w:br/>
        <w:t>3. Hub bereitet Auslieferung vor.</w:t>
        <w:br/>
        <w:t>4. Übergabe an Transport (versichert).</w:t>
        <w:br/>
        <w:t>5. Oracle-Bewertung wird im Audit vermerkt.</w:t>
        <w:br/>
        <w:t>6. Lieferung an User, Proof of Delivery.</w:t>
        <w:br/>
        <w:t>7. WITHDRAWAL_DELIVERED schließt Vorgang.</w:t>
      </w:r>
    </w:p>
    <w:p>
      <w:pPr>
        <w:pStyle w:val="Heading2"/>
      </w:pPr>
      <w:r>
        <w:t>4. Reconciliation &amp; Inventur</w:t>
      </w:r>
    </w:p>
    <w:p>
      <w:r>
        <w:t>- Regelmäßige Inventur (täglich / wöchentlich / monatlich).</w:t>
        <w:br/>
        <w:t>- Abgleich physischer Bestände mit System-Ledger.</w:t>
        <w:br/>
        <w:t>- Abweichungen führen zu RECONCILIATION_EXCEPTION.</w:t>
        <w:br/>
        <w:t>- Keine stillen Korrekturen erlaubt.</w:t>
      </w:r>
    </w:p>
    <w:p>
      <w:pPr>
        <w:pStyle w:val="Heading2"/>
      </w:pPr>
      <w:r>
        <w:t>5. Ausnahme- &amp; Fehlerbehandlung</w:t>
      </w:r>
    </w:p>
    <w:p>
      <w:r>
        <w:t>- Assay fehlgeschlagen → ASSAY_FAILED → kein Ledger-Credit.</w:t>
        <w:br/>
        <w:t>- Verlust/Beschädigung → Exception Case, Versicherung.</w:t>
        <w:br/>
        <w:t>- Transportverzögerung → Status IN_TRANSIT bleibt bestehen.</w:t>
        <w:br/>
        <w:t>- Jede Ausnahme ist auditpflichtig.</w:t>
      </w:r>
    </w:p>
    <w:p>
      <w:pPr>
        <w:pStyle w:val="Heading2"/>
      </w:pPr>
      <w:r>
        <w:t>6. Nicht erlaubt (absolut)</w:t>
      </w:r>
    </w:p>
    <w:p>
      <w:r>
        <w:t>- Kein direkter Zugriff des Hubs auf Ledger.</w:t>
        <w:br/>
        <w:t>- Keine manuelle Anpassung von Beständen.</w:t>
        <w:br/>
        <w:t>- Keine Bewertung außerhalb Hub/Oracle.</w:t>
        <w:br/>
        <w:t>- Keine Auslieferung ohne Systemfreigabe.</w:t>
      </w:r>
    </w:p>
    <w:p>
      <w:pPr>
        <w:pStyle w:val="Heading2"/>
      </w:pPr>
      <w:r>
        <w:t>7. Ziel der SOP</w:t>
      </w:r>
    </w:p>
    <w:p>
      <w:r>
        <w:t>Diese SOP stellt sicher, dass physisches Metall und digitale Zustände jederzeit konsistent, auditierbar und regulatorisch belastbar sind.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