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SPTC – Demo Mode Specification v0.1</w:t>
      </w:r>
    </w:p>
    <w:p>
      <w:r>
        <w:t>Dieses Dokument beschreibt den öffentlichen Demo- und Simulationsmodus der SPTC-Plattform. Der Demo Mode dient ausschließlich der Demonstration, Simulation und Analyse der Systemlogik (Barter, Matching, Trigger, Steuerwirkungen) und stellt keinen realen Handels- oder Betriebssystem dar.</w:t>
      </w:r>
    </w:p>
    <w:p>
      <w:pPr>
        <w:pStyle w:val="Heading2"/>
      </w:pPr>
      <w:r>
        <w:t>1. Ziel des Demo Mode</w:t>
      </w:r>
    </w:p>
    <w:p>
      <w:r>
        <w:t>Der Demo Mode soll mit realen Teilnehmern reales Systemverhalten erzeugen, ohne physische Ware, ohne gesetzliches Zahlungsmittel und ohne reale Steuerpflicht. Er dient als Vorstufe für Pilotbetrieb und Behördenkommunikation.</w:t>
      </w:r>
    </w:p>
    <w:p>
      <w:pPr>
        <w:pStyle w:val="Heading2"/>
      </w:pPr>
      <w:r>
        <w:t>2. Grundprinzipien</w:t>
      </w:r>
    </w:p>
    <w:p>
      <w:r>
        <w:t>- Keine physischen Assets, ausschließlich fiktive Demo-Assets.</w:t>
      </w:r>
    </w:p>
    <w:p>
      <w:r>
        <w:t>- Gleiche Algorithmen und Logiken wie im Realbetrieb.</w:t>
      </w:r>
    </w:p>
    <w:p>
      <w:r>
        <w:t>- Keine Auszahlung, keine Eigentumsrechte, kein Anspruch.</w:t>
      </w:r>
    </w:p>
    <w:p>
      <w:r>
        <w:t>- Steuern (TDS) werden ausschließlich simuliert.</w:t>
      </w:r>
    </w:p>
    <w:p>
      <w:r>
        <w:t>- Strikte Trennung zwischen Demo- und Realbetrieb.</w:t>
      </w:r>
    </w:p>
    <w:p>
      <w:pPr>
        <w:pStyle w:val="Heading2"/>
      </w:pPr>
      <w:r>
        <w:t>3. Nutzer &amp; Startguthaben</w:t>
      </w:r>
    </w:p>
    <w:p>
      <w:r>
        <w:t>Jeder Nutzer erhält beim Start ein initiales Demo-Guthaben (X), das durch einen systemseitigen Zufallsgenerator vergeben wird. Der Nutzer hat keinen Einfluss auf die Höhe des Startguthabens.</w:t>
      </w:r>
    </w:p>
    <w:p>
      <w:r>
        <w:t>Der Zufallsgenerator ist seed-basiert und deterministisch, um Reproduzierbarkeit, Fairness und Auditierbarkeit zu gewährleisten. Ohne Zufallsgenerator bestünde die Gefahr, dass Nutzer Maximalwerte wählen und die Simulation verzerren.</w:t>
      </w:r>
    </w:p>
    <w:p>
      <w:pPr>
        <w:pStyle w:val="Heading2"/>
      </w:pPr>
      <w:r>
        <w:t>4. Demo-Assets</w:t>
      </w:r>
    </w:p>
    <w:p>
      <w:r>
        <w:t>Demo-Assets (z. B. DEMO_GOLD, DEMO_SILVER) sind rein fiktiv. Sie repräsentieren keine reale Ware und begründen keinerlei Rechtsansprüche.</w:t>
      </w:r>
    </w:p>
    <w:p>
      <w:pPr>
        <w:pStyle w:val="Heading2"/>
      </w:pPr>
      <w:r>
        <w:t>5. Handel &amp; Settlement</w:t>
      </w:r>
    </w:p>
    <w:p>
      <w:r>
        <w:t>Nutzer können Barter-Orders platzieren und matchen. Owner-to-Owner-Settlement erfolgt systemisch identisch zum Realbetrieb. Alle Trigger, State Machines und Audit-Logs sind aktiv.</w:t>
      </w:r>
    </w:p>
    <w:p>
      <w:pPr>
        <w:pStyle w:val="Heading2"/>
      </w:pPr>
      <w:r>
        <w:t>6. Steuer-Simulation (TDS)</w:t>
      </w:r>
    </w:p>
    <w:p>
      <w:r>
        <w:t>Bei jedem steuerrelevanten Owner-to-Owner-Settlement wird ein Taxable Event erkannt und eine simulierte TDS-Berechnung durchgeführt. Die berechneten Beträge werden ausschließlich als Schattenrechnung ausgewiesen und nicht abgeführt.</w:t>
      </w:r>
    </w:p>
    <w:p>
      <w:pPr>
        <w:pStyle w:val="Heading2"/>
      </w:pPr>
      <w:r>
        <w:t>7. Nicht erlaubte Funktionen</w:t>
      </w:r>
    </w:p>
    <w:p>
      <w:r>
        <w:t>- Einzahlung oder Auszahlung physischer Ware</w:t>
      </w:r>
    </w:p>
    <w:p>
      <w:r>
        <w:t>- Migration von Demo-Daten in den Realbetrieb</w:t>
      </w:r>
    </w:p>
    <w:p>
      <w:r>
        <w:t>- Auszahlung von Werten oder Gewinnen</w:t>
      </w:r>
    </w:p>
    <w:p>
      <w:r>
        <w:t>- Verwendung von Demo-Daten als rechtliche Grundlage</w:t>
      </w:r>
    </w:p>
    <w:p>
      <w:r>
        <w:t>- Integration von Fiat-Zahlungen oder Bankschnittstellen</w:t>
      </w:r>
    </w:p>
    <w:p>
      <w:pPr>
        <w:pStyle w:val="Heading2"/>
      </w:pPr>
      <w:r>
        <w:t>8. Pflicht-Hinweise</w:t>
      </w:r>
    </w:p>
    <w:p>
      <w:r>
        <w:t>Der Demo Mode muss an allen relevanten Stellen eindeutig als Simulation gekennzeichnet sein, inklusive klarer Hinweise auf fehlende reale Assets, fehlende Steuerpflicht und fehlende Auszahlungsansprüche.</w:t>
      </w:r>
    </w:p>
    <w:p>
      <w:pPr>
        <w:pStyle w:val="Heading2"/>
      </w:pPr>
      <w:r>
        <w:t>9. Nutzen des Demo Mode</w:t>
      </w:r>
    </w:p>
    <w:p>
      <w:r>
        <w:t>Der Demo Mode liefert reale Nutzungsdaten, Trigger-Frequenzen, Volumenprofile und simulierte Steuerwirkungen. Diese Daten dienen der Systemvalidierung, Optimierung und Vorbereitung von Pilotbetrieb und Behördeneinbindung.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