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SPTC – Developer Guardrails v1.0</w:t>
      </w:r>
    </w:p>
    <w:p>
      <w:r>
        <w:t>Dieses Dokument definiert verbindliche technische und konzeptionelle Leitplanken (Guardrails), die bei der Entwicklung der SPTC-Plattform unter keinen Umständen verändert, umgangen oder weich interpretiert werden dürfen. Sie dienen dem Schutz der regulatorischen, steuerlichen und systemischen Integrität.</w:t>
      </w:r>
    </w:p>
    <w:p>
      <w:pPr>
        <w:pStyle w:val="Heading2"/>
      </w:pPr>
      <w:r>
        <w:t>1. Keine Fiat- oder Zahlungslogik</w:t>
      </w:r>
    </w:p>
    <w:p>
      <w:r>
        <w:t>Die Plattform darf keine Funktionen enthalten, die als Zahlungsdienst, Wallet, Konto, Fiat-Abwicklung oder Bankintegration interpretiert werden könnten. Jegliche Form von Geldfluss ist ausgeschlossen.</w:t>
      </w:r>
    </w:p>
    <w:p>
      <w:pPr>
        <w:pStyle w:val="Heading2"/>
      </w:pPr>
      <w:r>
        <w:t>2. Barter-Prinzip ist absolut</w:t>
      </w:r>
    </w:p>
    <w:p>
      <w:r>
        <w:t>Alle Transaktionen erfolgen ausschließlich als Tausch von physisch gedeckten Edelmetall-Assets. Es darf keine implizite oder explizite Monetarisierung geben.</w:t>
      </w:r>
    </w:p>
    <w:p>
      <w:pPr>
        <w:pStyle w:val="Heading2"/>
      </w:pPr>
      <w:r>
        <w:t>3. Steuerliche Trigger sind nicht verhandelbar</w:t>
      </w:r>
    </w:p>
    <w:p>
      <w:r>
        <w:t>TDS wird ausschließlich bei Owner-to-Owner-Settlement-Triggern ausgelöst. Reservierungen, Netting, Rebalancing oder interne Systembewegungen sind niemals steuerrelevant.</w:t>
      </w:r>
    </w:p>
    <w:p>
      <w:pPr>
        <w:pStyle w:val="Heading2"/>
      </w:pPr>
      <w:r>
        <w:t>4. Bewertung ist strikt getrennt</w:t>
      </w:r>
    </w:p>
    <w:p>
      <w:r>
        <w:t>Bewertung bei Einzahlung erfolgt ausschließlich über den Hub-Startpreis. Nach Einlagerung und bei Auszahlung wird ausschließlich ein Oracle verwendet. Bewertungen dürfen niemals manuell überschrieben werden.</w:t>
      </w:r>
    </w:p>
    <w:p>
      <w:pPr>
        <w:pStyle w:val="Heading2"/>
      </w:pPr>
      <w:r>
        <w:t>5. Keine manuellen Overrides</w:t>
      </w:r>
    </w:p>
    <w:p>
      <w:r>
        <w:t>Es darf keine Admin-, Support- oder Sonderfunktionen geben, die Ledger-Zustände, Ownership oder Steuerereignisse manuell verändern.</w:t>
      </w:r>
    </w:p>
    <w:p>
      <w:pPr>
        <w:pStyle w:val="Heading2"/>
      </w:pPr>
      <w:r>
        <w:t>6. Event-Driven First</w:t>
      </w:r>
    </w:p>
    <w:p>
      <w:r>
        <w:t>Alle Zustandsänderungen müssen durch eindeutig identifizierbare Trigger erfolgen. Direkte State-Manipulation ist verboten.</w:t>
      </w:r>
    </w:p>
    <w:p>
      <w:pPr>
        <w:pStyle w:val="Heading2"/>
      </w:pPr>
      <w:r>
        <w:t>7. Idempotenz ist Pflicht</w:t>
      </w:r>
    </w:p>
    <w:p>
      <w:r>
        <w:t>Jeder Trigger muss idempotent implementiert sein. Mehrfachausführung desselben Events darf niemals zu Doppelbuchungen führen.</w:t>
      </w:r>
    </w:p>
    <w:p>
      <w:pPr>
        <w:pStyle w:val="Heading2"/>
      </w:pPr>
      <w:r>
        <w:t>8. Audit-Log ist unveränderlich</w:t>
      </w:r>
    </w:p>
    <w:p>
      <w:r>
        <w:t>Audit-Logs sind write-only. Keine Löschung, keine Änderung, keine Zusammenfassung ohne Referenz.</w:t>
      </w:r>
    </w:p>
    <w:p>
      <w:pPr>
        <w:pStyle w:val="Heading2"/>
      </w:pPr>
      <w:r>
        <w:t>9. Keine impliziten Annahmen</w:t>
      </w:r>
    </w:p>
    <w:p>
      <w:r>
        <w:t>Wenn eine Regel nicht explizit definiert ist, darf sie nicht angenommen werden. Unklarheiten sind vor Implementierung zu klären.</w:t>
      </w:r>
    </w:p>
    <w:p>
      <w:pPr>
        <w:pStyle w:val="Heading2"/>
      </w:pPr>
      <w:r>
        <w:t>10. Keine Ausnahme-Logik</w:t>
      </w:r>
    </w:p>
    <w:p>
      <w:r>
        <w:t>Es darf keine Sonderfälle für bestimmte Nutzer, Partner, Hubs oder Rollen geben. Das System behandelt alle gleich.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