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– Developer README</w:t>
      </w:r>
    </w:p>
    <w:p>
      <w:r>
        <w:t>Dieses Dokument ist der verbindliche Einstiegspunkt für alle Entwicklerinnen und Entwickler, die an der SPTC-Plattform arbeiten. Es beschreibt Zweck, Architekturprinzipien, verbindliche Regeln und die maßgeblichen Referenzdokumente. Abweichungen von diesen Vorgaben sind nicht zulässig.</w:t>
      </w:r>
    </w:p>
    <w:p>
      <w:pPr>
        <w:pStyle w:val="Heading2"/>
      </w:pPr>
      <w:r>
        <w:t>1. Was ist SPTC?</w:t>
      </w:r>
    </w:p>
    <w:p>
      <w:r>
        <w:t>SPTC ist eine nicht-monetäre, barter-basierte Asset-Abwicklungs- und Settlement-Infrastruktur für physisch gedeckte Edelmetalle (Gold, Silber). Die Plattform ist ausdrücklich kein FinTech, kein Zahlungsdienst, keine Börse und kein Marktplatz im klassischen Sinn.</w:t>
      </w:r>
    </w:p>
    <w:p>
      <w:pPr>
        <w:pStyle w:val="Heading2"/>
      </w:pPr>
      <w:r>
        <w:t>2. Grundprinzipien (unverhandelbar)</w:t>
      </w:r>
    </w:p>
    <w:p>
      <w:r>
        <w:t>- Kein gesetzliches Zahlungsmittel, kein Fiat, keine Bankschnittstellen.</w:t>
      </w:r>
    </w:p>
    <w:p>
      <w:r>
        <w:t>- Alle Transfers erfolgen als Barter (Owner-to-Owner).</w:t>
      </w:r>
    </w:p>
    <w:p>
      <w:r>
        <w:t>- Eigentum wird systemisch als Zustand modelliert, nicht als Meinung oder Vertrag.</w:t>
      </w:r>
    </w:p>
    <w:p>
      <w:r>
        <w:t>- Alle Zustandsänderungen erfolgen ausschließlich über Trigger (Event-Driven).</w:t>
      </w:r>
    </w:p>
    <w:p>
      <w:r>
        <w:t>- Keine manuellen Overrides oder Sonderrechte.</w:t>
      </w:r>
    </w:p>
    <w:p>
      <w:r>
        <w:t>- Auditierbarkeit und Steuerfähigkeit (TDS) sind Designziele, keine Nebenprodukte.</w:t>
      </w:r>
    </w:p>
    <w:p>
      <w:pPr>
        <w:pStyle w:val="Heading2"/>
      </w:pPr>
      <w:r>
        <w:t>3. Zentrale Referenzdokumente</w:t>
      </w:r>
    </w:p>
    <w:p>
      <w:r>
        <w:t>Die folgenden Dokumente sind verbindlich und gemeinsam zu lesen:</w:t>
      </w:r>
    </w:p>
    <w:p>
      <w:r>
        <w:t>- SPTC_Trigger_Matrix_v0.2.xlsx – Technische Referenz aller Events &amp; Steuertrigger</w:t>
      </w:r>
    </w:p>
    <w:p>
      <w:r>
        <w:t>- SPTC_State_Machines_v0.2.docx – Zustandsautomaten der Kernobjekte</w:t>
      </w:r>
    </w:p>
    <w:p>
      <w:r>
        <w:t>- SPTC_State_Machines_Grafik_v0.2.zip – Grafische Übersicht der Zustände</w:t>
      </w:r>
    </w:p>
    <w:p>
      <w:r>
        <w:t>- SPTC_Developer_Guardrails_v1.0.docx – Harte technische und konzeptionelle Leitplanken</w:t>
      </w:r>
    </w:p>
    <w:p>
      <w:pPr>
        <w:pStyle w:val="Heading2"/>
      </w:pPr>
      <w:r>
        <w:t>4. Architektur-Leitlinien</w:t>
      </w:r>
    </w:p>
    <w:p>
      <w:r>
        <w:t>Die Plattform ist strikt event-getrieben. Direkte Manipulation von Zuständen, Datenbankeinträgen oder Ledgern ist untersagt. Jeder State-Change muss durch einen eindeutig identifizierbaren Trigger erfolgen.</w:t>
      </w:r>
    </w:p>
    <w:p>
      <w:pPr>
        <w:pStyle w:val="Heading2"/>
      </w:pPr>
      <w:r>
        <w:t>5. Steuerlogik (TDS)</w:t>
      </w:r>
    </w:p>
    <w:p>
      <w:r>
        <w:t>TDS wird ausschließlich bei Owner-to-Owner-Settlement-Triggern ausgelöst. Reservierungen, Netting, Rebalancing oder physische Ein-/Auslagerungen sind nicht steuerrelevant. Die Bewertungslogik ist strikt getrennt: Einzahlung über Hub-Startpreis, In-System-Transfers und Auszahlung über Oracle.</w:t>
      </w:r>
    </w:p>
    <w:p>
      <w:pPr>
        <w:pStyle w:val="Heading2"/>
      </w:pPr>
      <w:r>
        <w:t>6. Was Entwickler nicht tun dürfen</w:t>
      </w:r>
    </w:p>
    <w:p>
      <w:r>
        <w:t>- Keine Payment-, Wallet- oder Kontologik einführen.</w:t>
      </w:r>
    </w:p>
    <w:p>
      <w:r>
        <w:t>- Keine impliziten Annahmen treffen, wenn etwas nicht definiert ist.</w:t>
      </w:r>
    </w:p>
    <w:p>
      <w:r>
        <w:t>- Keine Sonderfälle für einzelne Nutzer, Partner oder Hubs implementieren.</w:t>
      </w:r>
    </w:p>
    <w:p>
      <w:r>
        <w:t>- Keine manuellen Korrekturen von Ledger- oder Steuerdaten.</w:t>
      </w:r>
    </w:p>
    <w:p>
      <w:r>
        <w:t>- Keine stillen Datenmigrationen ohne Trigger &amp; Audit.</w:t>
      </w:r>
    </w:p>
    <w:p>
      <w:pPr>
        <w:pStyle w:val="Heading2"/>
      </w:pPr>
      <w:r>
        <w:t>7. Vorgehen bei Unklarheiten</w:t>
      </w:r>
    </w:p>
    <w:p>
      <w:r>
        <w:t>Wenn eine Regel, ein Trigger oder ein Zustand nicht eindeutig aus den Referenzdokumenten ableitbar ist, darf keine Implementierung erfolgen. Unklarheiten sind zu dokumentieren und vor Umsetzung fachlich zu klären.</w:t>
      </w:r>
    </w:p>
    <w:p>
      <w:pPr>
        <w:pStyle w:val="Heading2"/>
      </w:pPr>
      <w:r>
        <w:t>8. Ziel dieses Systems</w:t>
      </w:r>
    </w:p>
    <w:p>
      <w:r>
        <w:t>SPTC ist als langfristige, staatlich anschlussfähige Infrastruktur konzipiert. Stabilität, Nachvollziehbarkeit und Regelstrenge haben Vorrang vor Geschwindigkeit oder kurzfristiger Produktlogik.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