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5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color w:val="0AA876"/>
          <w:sz w:val="22"/>
        </w:rPr>
        <w:t>VANTRAS EHS ACADEMY</w:t>
      </w:r>
    </w:p>
    <w:p>
      <w:pPr>
        <w:jc w:val="center"/>
      </w:pPr>
      <w:r>
        <w:rPr>
          <w:b/>
          <w:color w:val="0B2F4A"/>
          <w:sz w:val="54"/>
        </w:rPr>
        <w:t>Manager Handover &amp; Run Guide</w:t>
      </w:r>
    </w:p>
    <w:p>
      <w:pPr>
        <w:jc w:val="center"/>
      </w:pPr>
      <w:r>
        <w:rPr>
          <w:color w:val="647B8C"/>
          <w:sz w:val="24"/>
        </w:rPr>
        <w:t>Clean Dynamic UI Release v53</w:t>
      </w:r>
    </w:p>
    <w:p>
      <w:pPr>
        <w:spacing w:before="200"/>
        <w:jc w:val="center"/>
      </w:pPr>
      <w:r>
        <w:drawing>
          <wp:inline xmlns:a="http://schemas.openxmlformats.org/drawingml/2006/main" xmlns:pic="http://schemas.openxmlformats.org/drawingml/2006/picture">
            <wp:extent cx="6446520" cy="2260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2603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FFFFFF"/>
            <w:tcBorders>
              <w:top w:val="single" w:sz="8" w:color="0AA876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Role-based portals</w:t>
            </w:r>
          </w:p>
        </w:tc>
        <w:tc>
          <w:tcPr>
            <w:tcW w:type="dxa" w:w="2592"/>
            <w:shd w:fill="FFFFFF"/>
            <w:tcBorders>
              <w:top w:val="single" w:sz="8" w:color="1889D8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18+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Published EHS courses</w:t>
            </w:r>
          </w:p>
        </w:tc>
        <w:tc>
          <w:tcPr>
            <w:tcW w:type="dxa" w:w="2592"/>
            <w:shd w:fill="FFFFFF"/>
            <w:tcBorders>
              <w:top w:val="single" w:sz="8" w:color="0C8E85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8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Validation suites</w:t>
            </w:r>
          </w:p>
        </w:tc>
        <w:tc>
          <w:tcPr>
            <w:tcW w:type="dxa" w:w="2592"/>
            <w:shd w:fill="FFFFFF"/>
            <w:tcBorders>
              <w:top w:val="single" w:sz="8" w:color="F4B942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AI provider paths</w:t>
            </w:r>
          </w:p>
        </w:tc>
      </w:tr>
    </w:tbl>
    <w:p>
      <w:pPr>
        <w:spacing w:before="320"/>
        <w:jc w:val="center"/>
      </w:pPr>
      <w:r>
        <w:rPr>
          <w:color w:val="647B8C"/>
          <w:sz w:val="17"/>
        </w:rPr>
        <w:t>Prepared for management review  •  10 September 2026</w:t>
      </w:r>
    </w:p>
    <w:p>
      <w:r>
        <w:br w:type="page"/>
      </w:r>
    </w:p>
    <w:p>
      <w:pPr>
        <w:pStyle w:val="SectionLabel"/>
      </w:pPr>
      <w:r>
        <w:t>01  EXECUTIVE SUMMARY</w:t>
      </w:r>
    </w:p>
    <w:p>
      <w:pPr>
        <w:pStyle w:val="Heading1"/>
      </w:pPr>
      <w:r>
        <w:t>What this release delivers</w:t>
      </w:r>
    </w:p>
    <w:p>
      <w:r>
        <w:t>Vantras EHS Academy is a role-based digital learning platform for Environment, Health &amp; Safety training. The current release combines a public website, four authenticated portals, course enrollment and payment workflows, learning and assessment features, certificate verification, reporting, corporate training administration, and an AI assistant layer in one local application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EF7F4"/>
            <w:tcBorders>
              <w:top w:val="single" w:sz="4" w:color="D9E7EC"/>
              <w:left w:val="single" w:sz="18" w:color="0AA876"/>
              <w:bottom w:val="single" w:sz="4" w:color="D9E7EC"/>
              <w:right w:val="single" w:sz="4" w:color="D9E7EC"/>
            </w:tcBorders>
            <w:tcMar>
              <w:top w:w="130" w:type="dxa"/>
              <w:start w:w="170" w:type="dxa"/>
              <w:bottom w:w="130" w:type="dxa"/>
              <w:end w:w="150" w:type="dxa"/>
            </w:tcMar>
          </w:tcPr>
          <w:p>
            <w:r>
              <w:rPr>
                <w:b/>
                <w:color w:val="0B2F4A"/>
                <w:sz w:val="21"/>
              </w:rPr>
              <w:t>Management position</w:t>
            </w:r>
          </w:p>
          <w:p>
            <w:pPr>
              <w:spacing w:after="0"/>
            </w:pPr>
            <w:r>
              <w:rPr>
                <w:color w:val="17384D"/>
                <w:sz w:val="17"/>
              </w:rPr>
              <w:t>This release is suitable for stakeholder walkthroughs, functional review, UI/UX review, and continued engineering. It is not presented as a production-hardened deployment; identity, payments, infrastructure, security controls and observability should be connected to organization-approved services before launch.</w:t>
            </w:r>
          </w:p>
        </w:tc>
      </w:tr>
    </w:tbl>
    <w:p>
      <w:pPr>
        <w:pStyle w:val="Heading2"/>
      </w:pPr>
      <w:r>
        <w:t>Release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FFFFFF"/>
            <w:tcBorders>
              <w:top w:val="single" w:sz="8" w:color="0AA876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93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Project files</w:t>
            </w:r>
          </w:p>
        </w:tc>
        <w:tc>
          <w:tcPr>
            <w:tcW w:type="dxa" w:w="2592"/>
            <w:shd w:fill="FFFFFF"/>
            <w:tcBorders>
              <w:top w:val="single" w:sz="8" w:color="1889D8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66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Active media assets</w:t>
            </w:r>
          </w:p>
        </w:tc>
        <w:tc>
          <w:tcPr>
            <w:tcW w:type="dxa" w:w="2592"/>
            <w:shd w:fill="FFFFFF"/>
            <w:tcBorders>
              <w:top w:val="single" w:sz="8" w:color="0C8E85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784 KB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Local SQLite DB</w:t>
            </w:r>
          </w:p>
        </w:tc>
        <w:tc>
          <w:tcPr>
            <w:tcW w:type="dxa" w:w="2592"/>
            <w:shd w:fill="FFFFFF"/>
            <w:tcBorders>
              <w:top w:val="single" w:sz="8" w:color="F4B942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17 MB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Release ZIP</w:t>
            </w:r>
          </w:p>
        </w:tc>
      </w:tr>
    </w:tbl>
    <w:p>
      <w:pPr>
        <w:pStyle w:val="Heading2"/>
      </w:pPr>
      <w:r>
        <w:t>What a manager can review 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End-to-end learner journey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Course discovery, sign-in, enrollment, payment, unlocking, learning, assessment, results and credentials.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Operational portals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Trainer, Corporate and Admin workspaces with role-specific dashboards and management actions.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Unified visual system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Blue/green brand accents, aligned dashboard cards, responsive layouts, inner-content scrolling and interactive motion.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AI experience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General-purpose AI with EHS expertise using Z.AI and Ollama provider logic, plus Student dashboard Copilot.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Persisted local data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Accounts, enrollments, payments, progress, attempts, certificates and workspace records stored in SQLite.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Deployment assets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Dockerfile, Docker Compose, Nginx configuration and CI workflow included for engineering continuation.</w:t>
            </w:r>
          </w:p>
        </w:tc>
      </w:tr>
    </w:tbl>
    <w:p>
      <w:r>
        <w:br w:type="page"/>
      </w:r>
    </w:p>
    <w:p>
      <w:pPr>
        <w:pStyle w:val="SectionLabel"/>
      </w:pPr>
      <w:r>
        <w:t>02  PRODUCT SCOPE</w:t>
      </w:r>
    </w:p>
    <w:p>
      <w:pPr>
        <w:pStyle w:val="Heading1"/>
      </w:pPr>
      <w:r>
        <w:t>Public website and application entry points</w:t>
      </w:r>
    </w:p>
    <w:p>
      <w:r>
        <w:t>The public site acts as the discovery and trust layer. It presents the academy, course catalogue, corporate training proposition, EHS resources, knowledge content, support/contact paths and public certificate verification before users enter a role-based workspace.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015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Public area</w:t>
            </w:r>
          </w:p>
        </w:tc>
        <w:tc>
          <w:tcPr>
            <w:tcW w:type="dxa" w:w="2088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Primary user</w:t>
            </w:r>
          </w:p>
        </w:tc>
        <w:tc>
          <w:tcPr>
            <w:tcW w:type="dxa" w:w="5976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Home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All visitors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Hero, featured courses, text/icon categories, EHS learning context and corporate learning call-to-action.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About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All visitors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Academy purpose, learning model, mission/vision and professional capability story.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Courses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Prospective learners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Search/filter course catalogue, course details, enrollment entry and locked/unlocked state after sign-in.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Corporate Training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Organizations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Workforce learning proposition, role/risk aligned training, corporate portal entry and enquiry path.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Resources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EHS learners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Practical downloadable/reference resources and previews.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Blog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All visitors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Knowledge-centre articles and workplace EHS topics.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Contact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All visitors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Enquiry form and support/contact information.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Certificate Verification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Public verifier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Certificate-code verification without requiring portal login.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Login / Registration</w:t>
            </w:r>
          </w:p>
        </w:tc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Portal users</w:t>
            </w:r>
          </w:p>
        </w:tc>
        <w:tc>
          <w:tcPr>
            <w:tcW w:type="dxa" w:w="597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Registered-account access with role restoration; no credential auto-fill from portal selector.</w:t>
            </w:r>
          </w:p>
        </w:tc>
      </w:tr>
    </w:tbl>
    <w:p>
      <w:pPr>
        <w:pStyle w:val="Heading2"/>
      </w:pPr>
      <w:r>
        <w:t>Primary entry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2F8FC"/>
            <w:tcBorders>
              <w:top w:val="single" w:sz="4" w:color="D9E7EC"/>
              <w:left w:val="single" w:sz="18" w:color="1889D8"/>
              <w:bottom w:val="single" w:sz="4" w:color="D9E7EC"/>
              <w:right w:val="single" w:sz="4" w:color="D9E7EC"/>
            </w:tcBorders>
            <w:tcMar>
              <w:top w:w="130" w:type="dxa"/>
              <w:start w:w="170" w:type="dxa"/>
              <w:bottom w:w="130" w:type="dxa"/>
              <w:end w:w="150" w:type="dxa"/>
            </w:tcMar>
          </w:tcPr>
          <w:p>
            <w:r>
              <w:rPr>
                <w:b/>
                <w:color w:val="0B2F4A"/>
                <w:sz w:val="21"/>
              </w:rPr>
              <w:t>Discover → Register/Sign in → Role workspace → Complete task</w:t>
            </w:r>
          </w:p>
          <w:p>
            <w:pPr>
              <w:spacing w:after="0"/>
            </w:pPr>
            <w:r>
              <w:rPr>
                <w:color w:val="17384D"/>
                <w:sz w:val="17"/>
              </w:rPr>
              <w:t>Student users go directly to Browse Courses after sign-in. Trainer, Corporate and Admin users enter their role workspace. Registered accounts return to their stored role on future sign-ins.</w:t>
            </w:r>
          </w:p>
        </w:tc>
      </w:tr>
    </w:tbl>
    <w:p>
      <w:r>
        <w:br w:type="page"/>
      </w:r>
    </w:p>
    <w:p>
      <w:pPr>
        <w:pStyle w:val="SectionLabel"/>
      </w:pPr>
      <w:r>
        <w:t>03  PORTAL CAPABILITIES</w:t>
      </w:r>
    </w:p>
    <w:p>
      <w:pPr>
        <w:pStyle w:val="Heading1"/>
      </w:pPr>
      <w:r>
        <w:t>Four role-based workspaces</w:t>
      </w:r>
    </w:p>
    <w:p>
      <w:r>
        <w:t>Each portal exposes a different operational view while sharing the same design language and backend. The dashboard layer is aligned across roles; feature pages remain role-specific.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90" w:type="dxa"/>
              <w:end w:w="80" w:type="dxa"/>
            </w:tcMar>
            <w:tcBorders>
              <w:top w:val="single" w:sz="5" w:color="0AA876"/>
              <w:left w:val="single" w:sz="3" w:color="D9E7EC"/>
              <w:bottom w:val="single" w:sz="3" w:color="D9E7EC"/>
              <w:right w:val="single" w:sz="3" w:color="D9E7EC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6197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student_banne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619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0B2F4A"/>
                <w:sz w:val="20"/>
              </w:rPr>
              <w:t>Student Portal</w:t>
            </w:r>
          </w:p>
          <w:p>
            <w:pPr>
              <w:spacing w:after="0"/>
            </w:pPr>
            <w:r>
              <w:rPr>
                <w:color w:val="647B8C"/>
                <w:sz w:val="15"/>
              </w:rPr>
              <w:t>Learning, assessments, progress and credentials.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90" w:type="dxa"/>
              <w:end w:w="80" w:type="dxa"/>
            </w:tcMar>
            <w:tcBorders>
              <w:top w:val="single" w:sz="5" w:color="1889D8"/>
              <w:left w:val="single" w:sz="3" w:color="D9E7EC"/>
              <w:bottom w:val="single" w:sz="3" w:color="D9E7EC"/>
              <w:right w:val="single" w:sz="3" w:color="D9E7EC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61979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trainer_banner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619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0B2F4A"/>
                <w:sz w:val="20"/>
              </w:rPr>
              <w:t>Trainer Portal</w:t>
            </w:r>
          </w:p>
          <w:p>
            <w:pPr>
              <w:spacing w:after="0"/>
            </w:pPr>
            <w:r>
              <w:rPr>
                <w:color w:val="647B8C"/>
                <w:sz w:val="15"/>
              </w:rPr>
              <w:t>Course delivery, learners, sessions and evaluation.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80" w:type="dxa"/>
              <w:bottom w:w="90" w:type="dxa"/>
              <w:end w:w="80" w:type="dxa"/>
            </w:tcMar>
            <w:tcBorders>
              <w:top w:val="single" w:sz="5" w:color="0AA876"/>
              <w:left w:val="single" w:sz="3" w:color="D9E7EC"/>
              <w:bottom w:val="single" w:sz="3" w:color="D9E7EC"/>
              <w:right w:val="single" w:sz="3" w:color="D9E7EC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61979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corporate_banne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619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0B2F4A"/>
                <w:sz w:val="20"/>
              </w:rPr>
              <w:t>Corporate Portal</w:t>
            </w:r>
          </w:p>
          <w:p>
            <w:pPr>
              <w:spacing w:after="0"/>
            </w:pPr>
            <w:r>
              <w:rPr>
                <w:color w:val="647B8C"/>
                <w:sz w:val="15"/>
              </w:rPr>
              <w:t>Workforce assignment, progress and training evidence.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90" w:type="dxa"/>
              <w:end w:w="80" w:type="dxa"/>
            </w:tcMar>
            <w:tcBorders>
              <w:top w:val="single" w:sz="5" w:color="1889D8"/>
              <w:left w:val="single" w:sz="3" w:color="D9E7EC"/>
              <w:bottom w:val="single" w:sz="3" w:color="D9E7EC"/>
              <w:right w:val="single" w:sz="3" w:color="D9E7EC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61979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-admin_banner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619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0B2F4A"/>
                <w:sz w:val="20"/>
              </w:rPr>
              <w:t>Admin Portal</w:t>
            </w:r>
          </w:p>
          <w:p>
            <w:pPr>
              <w:spacing w:after="0"/>
            </w:pPr>
            <w:r>
              <w:rPr>
                <w:color w:val="647B8C"/>
                <w:sz w:val="15"/>
              </w:rPr>
              <w:t>Platform governance, users, content, finance and security.</w:t>
            </w:r>
          </w:p>
        </w:tc>
      </w:tr>
    </w:tbl>
    <w:p>
      <w:r>
        <w:br w:type="page"/>
      </w:r>
    </w:p>
    <w:p>
      <w:pPr>
        <w:pStyle w:val="SectionLabel"/>
      </w:pPr>
      <w:r>
        <w:t>03A  PORTAL FEATURE COVERAGE</w:t>
      </w:r>
    </w:p>
    <w:p>
      <w:pPr>
        <w:pStyle w:val="Heading1"/>
      </w:pPr>
      <w:r>
        <w:t>Role-by-role feature coverage</w:t>
      </w:r>
    </w:p>
    <w:p>
      <w:r>
        <w:t>The feature set below is the current management-review scope for each authenticated workspace.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088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951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5040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Key capabilities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Student</w:t>
            </w:r>
          </w:p>
        </w:tc>
        <w:tc>
          <w:tcPr>
            <w:tcW w:type="dxa" w:w="2951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Individual learner</w:t>
            </w:r>
          </w:p>
        </w:tc>
        <w:tc>
          <w:tcPr>
            <w:tcW w:type="dxa" w:w="5040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Dashboard, Browse Courses, My Courses, Course Player, Learning Path, Assessments, Exams, Results, Performance, Certificates, Payments, Resources, Live Sessions, AI Assistant, Notifications, Support and Profile.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Trainer</w:t>
            </w:r>
          </w:p>
        </w:tc>
        <w:tc>
          <w:tcPr>
            <w:tcW w:type="dxa" w:w="2951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Instructor / faculty</w:t>
            </w:r>
          </w:p>
        </w:tc>
        <w:tc>
          <w:tcPr>
            <w:tcW w:type="dxa" w:w="5040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Dashboard, Courses, Create Course, Learners, Live Sessions, Assessments, Question Bank, Assignments, Certificates, Content Library, Feedback, Reports, Messages, Calendar, Profile and Support.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Corporate</w:t>
            </w:r>
          </w:p>
        </w:tc>
        <w:tc>
          <w:tcPr>
            <w:tcW w:type="dxa" w:w="2951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Training / EHS manager</w:t>
            </w:r>
          </w:p>
        </w:tc>
        <w:tc>
          <w:tcPr>
            <w:tcW w:type="dxa" w:w="5040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Dashboard, Programs, Team, Bulk Upload, Assignment, Enrollments, Assessments, Employee Progress, Certificates, Reports, Resources, Training Requests, Notifications, Profile, Settings and Support.</w:t>
            </w:r>
          </w:p>
        </w:tc>
      </w:tr>
      <w:tr>
        <w:trPr>
          <w:cantSplit/>
        </w:trPr>
        <w:tc>
          <w:tcPr>
            <w:tcW w:type="dxa" w:w="208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Admin</w:t>
            </w:r>
          </w:p>
        </w:tc>
        <w:tc>
          <w:tcPr>
            <w:tcW w:type="dxa" w:w="2951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Platform administrator</w:t>
            </w:r>
          </w:p>
        </w:tc>
        <w:tc>
          <w:tcPr>
            <w:tcW w:type="dxa" w:w="5040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Dashboard, users, courses, categories, approvals, enrollments, assessments, exams, certificates, verification, payments/refunds/coupons/invoices, corporate management, sessions, resources, CMS, reports, analytics, notifications, support, audit, security, roles and settings.</w:t>
            </w:r>
          </w:p>
        </w:tc>
      </w:tr>
    </w:tbl>
    <w:p>
      <w:r>
        <w:br w:type="page"/>
      </w:r>
    </w:p>
    <w:p>
      <w:pPr>
        <w:pStyle w:val="SectionLabel"/>
      </w:pPr>
      <w:r>
        <w:t>04  STUDENT JOURNEY</w:t>
      </w:r>
    </w:p>
    <w:p>
      <w:pPr>
        <w:pStyle w:val="Heading1"/>
      </w:pPr>
      <w:r>
        <w:t>Enrollment-gated learning flow</w:t>
      </w:r>
    </w:p>
    <w:p>
      <w:r>
        <w:t>The Student experience intentionally starts with Browse Courses. Course-dependent content is locked until the learner completes the enrollment/payment flow. Access checks exist in both the user interface and backend endpoints for assessments.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792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  <w:shd w:fill="0AA876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0B2F4A"/>
              </w:rPr>
              <w:t>Browse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6"/>
              </w:rPr>
              <w:t>Student signs in and lands on Browse Courses. Published courses show locked/unlocked state.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  <w:shd w:fill="0AA876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0B2F4A"/>
              </w:rPr>
              <w:t>Enroll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6"/>
              </w:rPr>
              <w:t>Selecting Enroll opens billing and payment rather than immediately adding the course.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  <w:shd w:fill="0AA876"/>
          </w:tcPr>
          <w:p>
            <w:pPr>
              <w:jc w:val="center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0B2F4A"/>
              </w:rPr>
              <w:t>Persist checkout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6"/>
              </w:rPr>
              <w:t>Billing data, course, amount and payment method are stored as a pending checkout record.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  <w:shd w:fill="0AA876"/>
          </w:tcPr>
          <w:p>
            <w:pPr>
              <w:jc w:val="center"/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0B2F4A"/>
              </w:rPr>
              <w:t>Pay &amp; activate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6"/>
              </w:rPr>
              <w:t>Successful payment records the transaction and activates the enrollment.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  <w:shd w:fill="1889D8"/>
          </w:tcPr>
          <w:p>
            <w:pPr>
              <w:jc w:val="center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0B2F4A"/>
              </w:rPr>
              <w:t>Unlock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6"/>
              </w:rPr>
              <w:t>The enrolled course becomes available in My Courses and course-dependent areas.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  <w:shd w:fill="1889D8"/>
          </w:tcPr>
          <w:p>
            <w:pPr>
              <w:jc w:val="center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0B2F4A"/>
              </w:rPr>
              <w:t>Learn &amp; assess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6"/>
              </w:rPr>
              <w:t>Course Player, Learning Path, assessments, exams, results, performance and related content operate against enrolled course data.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  <w:shd w:fill="1889D8"/>
          </w:tcPr>
          <w:p>
            <w:pPr>
              <w:jc w:val="center"/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type="dxa" w:w="1655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0B2F4A"/>
              </w:rPr>
              <w:t>Complete &amp; verify</w:t>
            </w:r>
          </w:p>
        </w:tc>
        <w:tc>
          <w:tcPr>
            <w:tcW w:type="dxa" w:w="7488"/>
            <w:tcMar>
              <w:top w:w="90" w:type="dxa"/>
              <w:start w:w="85" w:type="dxa"/>
              <w:bottom w:w="90" w:type="dxa"/>
              <w:end w:w="85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6"/>
              </w:rPr>
              <w:t>Completion data can lead to a certificate that is also verifiable from the public website.</w:t>
            </w:r>
          </w:p>
        </w:tc>
      </w:tr>
    </w:tbl>
    <w:p>
      <w:pPr>
        <w:pStyle w:val="Heading2"/>
      </w:pPr>
      <w:r>
        <w:t>Student dashboard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My Learning Path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Balanced dashboard card with internal scrolling so two learning records remain visible while additional items can be reviewed without stretching the page.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Performance Trend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Equal-height companion card for progress and performance information.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Exams Ending Soon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Two records visible at a time with internal scrolling for the remaining deadlines.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Student AI Copilot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Limited to the Student dashboard and can summarize the visible dashboard, recommend next learning steps and answer questions.</w:t>
            </w:r>
          </w:p>
        </w:tc>
      </w:tr>
    </w:tbl>
    <w:p>
      <w:r>
        <w:br w:type="page"/>
      </w:r>
    </w:p>
    <w:p>
      <w:pPr>
        <w:pStyle w:val="SectionLabel"/>
      </w:pPr>
      <w:r>
        <w:t>05  DASHBOARD &amp; UX DESIGN</w:t>
      </w:r>
    </w:p>
    <w:p>
      <w:pPr>
        <w:pStyle w:val="Heading1"/>
      </w:pPr>
      <w:r>
        <w:t>Unified dashboards and interaction model</w:t>
      </w:r>
    </w:p>
    <w:p>
      <w:r>
        <w:t>All four dashboards use the same core visual grammar while preserving role-specific content. The design was cleaned so rows align, card heights are balanced, and short cards do not leave large unused blank areas.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FFFFFF"/>
            <w:tcBorders>
              <w:top w:val="single" w:sz="8" w:color="0AA876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Aligned KPI cards</w:t>
            </w:r>
          </w:p>
        </w:tc>
        <w:tc>
          <w:tcPr>
            <w:tcW w:type="dxa" w:w="2592"/>
            <w:shd w:fill="FFFFFF"/>
            <w:tcBorders>
              <w:top w:val="single" w:sz="8" w:color="1889D8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Role quick actions</w:t>
            </w:r>
          </w:p>
        </w:tc>
        <w:tc>
          <w:tcPr>
            <w:tcW w:type="dxa" w:w="2592"/>
            <w:shd w:fill="FFFFFF"/>
            <w:tcBorders>
              <w:top w:val="single" w:sz="8" w:color="0C8E85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2-col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Balanced content rows</w:t>
            </w:r>
          </w:p>
        </w:tc>
        <w:tc>
          <w:tcPr>
            <w:tcW w:type="dxa" w:w="2592"/>
            <w:shd w:fill="FFFFFF"/>
            <w:tcBorders>
              <w:top w:val="single" w:sz="8" w:color="F4B942"/>
              <w:left w:val="single" w:sz="4" w:color="D9E7EC"/>
              <w:bottom w:val="single" w:sz="4" w:color="D9E7EC"/>
              <w:right w:val="single" w:sz="4" w:color="D9E7EC"/>
            </w:tcBorders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40"/>
              </w:rPr>
              <w:t>Inner</w:t>
            </w:r>
          </w:p>
          <w:p>
            <w:pPr>
              <w:spacing w:after="0"/>
              <w:jc w:val="center"/>
            </w:pPr>
            <w:r>
              <w:rPr>
                <w:b/>
                <w:color w:val="647B8C"/>
                <w:sz w:val="14"/>
              </w:rPr>
              <w:t>Content scrolling</w:t>
            </w:r>
          </w:p>
        </w:tc>
      </w:tr>
    </w:tbl>
    <w:p>
      <w:pPr>
        <w:pStyle w:val="Heading2"/>
      </w:pPr>
      <w:r>
        <w:t>Current design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Blue/green card accents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Cards use a consistent top/left accent language, stronger but restrained shadows, rounded geometry and hover lift.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Fixed application shell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Signed-in portal shell remains within the viewport; the main content pane scrolls instead of the whole application.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Responsive behavior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Cards collapse cleanly on smaller screens; internal scroll areas remain usable for long lists and AI conversations.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Motion and feedback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Buttons use press/shine feedback, cards use subtle lift, hero imagery can zoom slightly, and navigation states remain clear.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Compact visual summaries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Attendance Snapshot uses a circular percentage visual, threshold legend and concise status instead of a tall empty card.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Corporate Learning card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Full-image corporate learning section with stronger label treatment and bright Role aligned / Risk focused / Progress tracked badges.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7FBFC"/>
            <w:tcBorders>
              <w:top w:val="single" w:sz="4" w:color="D9E7EC"/>
              <w:left w:val="single" w:sz="18" w:color="0C8E85"/>
              <w:bottom w:val="single" w:sz="4" w:color="D9E7EC"/>
              <w:right w:val="single" w:sz="4" w:color="D9E7EC"/>
            </w:tcBorders>
            <w:tcMar>
              <w:top w:w="130" w:type="dxa"/>
              <w:start w:w="170" w:type="dxa"/>
              <w:bottom w:w="130" w:type="dxa"/>
              <w:end w:w="150" w:type="dxa"/>
            </w:tcMar>
          </w:tcPr>
          <w:p>
            <w:r>
              <w:rPr>
                <w:b/>
                <w:color w:val="0B2F4A"/>
                <w:sz w:val="21"/>
              </w:rPr>
              <w:t>Design principle</w:t>
            </w:r>
          </w:p>
          <w:p>
            <w:pPr>
              <w:spacing w:after="0"/>
            </w:pPr>
            <w:r>
              <w:rPr>
                <w:color w:val="17384D"/>
                <w:sz w:val="17"/>
              </w:rPr>
              <w:t>Images are concentrated in hero and meaningful media contexts. Ordinary operational cards prioritize text, icons, data and action clarity rather than adding imagery everywhere.</w:t>
            </w:r>
          </w:p>
        </w:tc>
      </w:tr>
    </w:tbl>
    <w:p>
      <w:r>
        <w:br w:type="page"/>
      </w:r>
    </w:p>
    <w:p>
      <w:pPr>
        <w:pStyle w:val="SectionLabel"/>
      </w:pPr>
      <w:r>
        <w:t>06  AI ASSISTANT</w:t>
      </w:r>
    </w:p>
    <w:p>
      <w:pPr>
        <w:pStyle w:val="Heading1"/>
      </w:pPr>
      <w:r>
        <w:t>General-purpose AI with EHS expertise</w:t>
      </w:r>
    </w:p>
    <w:p>
      <w:r>
        <w:t>The AI layer is designed to answer EHS and non-EHS questions, including coding, mathematics, writing, study topics and general knowledge. Responses are configured to prefer full explanations rather than one-line definitions unless the user explicitly asks for a short answer.</w:t>
      </w:r>
    </w:p>
    <w:p>
      <w:pPr>
        <w:pStyle w:val="Heading2"/>
      </w:pPr>
      <w:r>
        <w:t>Provider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0B2F4A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2592"/>
            <w:shd w:fill="0B2F4A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592"/>
            <w:shd w:fill="0B2F4A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shd w:fill="0B2F4A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7384D"/>
                <w:sz w:val="15"/>
              </w:rPr>
              <w:t>Z.AI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5"/>
              </w:rPr>
              <w:t>glm-4.5-flash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5"/>
              </w:rPr>
              <w:t>Cloud primary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5"/>
              </w:rPr>
              <w:t>Queried in race mode; if primary fails, configured cloud fallback is attempted.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  <w:shd w:fill="F7FAFB"/>
          </w:tcPr>
          <w:p>
            <w:r>
              <w:rPr>
                <w:b/>
                <w:color w:val="17384D"/>
                <w:sz w:val="15"/>
              </w:rPr>
              <w:t>Z.AI fallback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  <w:shd w:fill="F7FAFB"/>
          </w:tcPr>
          <w:p>
            <w:r>
              <w:rPr>
                <w:b w:val="0"/>
                <w:color w:val="17384D"/>
                <w:sz w:val="15"/>
              </w:rPr>
              <w:t>glm-4.7-flash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  <w:shd w:fill="F7FAFB"/>
          </w:tcPr>
          <w:p>
            <w:r>
              <w:rPr>
                <w:b w:val="0"/>
                <w:color w:val="17384D"/>
                <w:sz w:val="15"/>
              </w:rPr>
              <w:t>Cloud secondary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  <w:shd w:fill="F7FAFB"/>
          </w:tcPr>
          <w:p>
            <w:r>
              <w:rPr>
                <w:b w:val="0"/>
                <w:color w:val="17384D"/>
                <w:sz w:val="15"/>
              </w:rPr>
              <w:t>Used automatically when the primary Z.AI call is unsuccessful.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7384D"/>
                <w:sz w:val="15"/>
              </w:rPr>
              <w:t>Ollama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5"/>
              </w:rPr>
              <w:t>qwen2.5:7b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5"/>
              </w:rPr>
              <w:t>Local fallback / race peer</w:t>
            </w:r>
          </w:p>
        </w:tc>
        <w:tc>
          <w:tcPr>
            <w:tcW w:type="dxa" w:w="2592"/>
            <w:tcMar>
              <w:top w:w="80" w:type="dxa"/>
              <w:start w:w="75" w:type="dxa"/>
              <w:bottom w:w="80" w:type="dxa"/>
              <w:end w:w="75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5"/>
              </w:rPr>
              <w:t>Can auto-start and auto-pull locally when configured and installed.</w:t>
            </w:r>
          </w:p>
        </w:tc>
      </w:tr>
    </w:tbl>
    <w:p>
      <w:pPr>
        <w:pStyle w:val="Heading2"/>
      </w:pPr>
      <w:r>
        <w:t>Configured behavior</w:t>
      </w:r>
    </w:p>
    <w:p>
      <w:pPr>
        <w:pStyle w:val="ListBullet"/>
        <w:spacing w:after="50"/>
      </w:pPr>
      <w:r>
        <w:t>AI_PROVIDER_RACE=true: Z.AI and Ollama can start together; the first complete successful answer is returned.</w:t>
      </w:r>
    </w:p>
    <w:p>
      <w:pPr>
        <w:pStyle w:val="ListBullet"/>
        <w:spacing w:after="50"/>
      </w:pPr>
      <w:r>
        <w:t>Z.AI output limit: 4096 tokens; thinking disabled for interactive response speed.</w:t>
      </w:r>
    </w:p>
    <w:p>
      <w:pPr>
        <w:pStyle w:val="ListBullet"/>
        <w:spacing w:after="50"/>
      </w:pPr>
      <w:r>
        <w:t>Ollama model: qwen2.5:7b; 45-second timeout; 1400 predicted tokens; 30-minute keep-alive.</w:t>
      </w:r>
    </w:p>
    <w:p>
      <w:pPr>
        <w:pStyle w:val="ListBullet"/>
        <w:spacing w:after="50"/>
      </w:pPr>
      <w:r>
        <w:t>Provider connection/error details are kept out of learner-facing chat; development status remains available through the backend status endpoint.</w:t>
      </w:r>
    </w:p>
    <w:p>
      <w:pPr>
        <w:pStyle w:val="ListBullet"/>
        <w:spacing w:after="50"/>
      </w:pPr>
      <w:r>
        <w:t>Only the middle Q&amp;A history scrolls in chat; header and composer remain visible.</w:t>
      </w:r>
    </w:p>
    <w:p>
      <w:pPr>
        <w:pStyle w:val="ListBullet"/>
        <w:spacing w:after="50"/>
      </w:pPr>
      <w:r>
        <w:t>Student dashboard Copilot is the only dashboard Copilot in the current release; Trainer, Corporate and Admin dashboards do not show the Copilot panel.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8E9"/>
            <w:tcBorders>
              <w:top w:val="single" w:sz="4" w:color="D9E7EC"/>
              <w:left w:val="single" w:sz="18" w:color="F4B942"/>
              <w:bottom w:val="single" w:sz="4" w:color="D9E7EC"/>
              <w:right w:val="single" w:sz="4" w:color="D9E7EC"/>
            </w:tcBorders>
            <w:tcMar>
              <w:top w:w="130" w:type="dxa"/>
              <w:start w:w="170" w:type="dxa"/>
              <w:bottom w:w="130" w:type="dxa"/>
              <w:end w:w="150" w:type="dxa"/>
            </w:tcMar>
          </w:tcPr>
          <w:p>
            <w:r>
              <w:rPr>
                <w:b/>
                <w:color w:val="0B2F4A"/>
                <w:sz w:val="21"/>
              </w:rPr>
              <w:t>Secret handling</w:t>
            </w:r>
          </w:p>
          <w:p>
            <w:pPr>
              <w:spacing w:after="0"/>
            </w:pPr>
            <w:r>
              <w:rPr>
                <w:color w:val="17384D"/>
                <w:sz w:val="17"/>
              </w:rPr>
              <w:t>The shareable project intentionally leaves ZAI_API_KEY blank in .env.example. Put the real key only in a local .env file and never commit or send that secret with the project.</w:t>
            </w:r>
          </w:p>
        </w:tc>
      </w:tr>
    </w:tbl>
    <w:p>
      <w:r>
        <w:br w:type="page"/>
      </w:r>
    </w:p>
    <w:p>
      <w:pPr>
        <w:pStyle w:val="SectionLabel"/>
      </w:pPr>
      <w:r>
        <w:t>07  TECHNICAL ARCHITECTURE</w:t>
      </w:r>
    </w:p>
    <w:p>
      <w:pPr>
        <w:pStyle w:val="Heading1"/>
      </w:pPr>
      <w:r>
        <w:t>Application architecture and project structure</w:t>
      </w:r>
    </w:p>
    <w:p>
      <w:r>
        <w:t>The local release deliberately uses a small technology footprint: browser-based HTML/CSS/JavaScript, a Python standard-library HTTP server, and SQLite persistence. AI provider calls are made by the backend.</w:t>
      </w:r>
    </w:p>
    <w:p>
      <w:pPr>
        <w:pStyle w:val="Heading2"/>
      </w:pPr>
      <w:r>
        <w:t>Logical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cantSplit/>
        </w:trPr>
        <w:tc>
          <w:tcPr>
            <w:tcW w:type="dxa" w:w="1481"/>
            <w:tcMar>
              <w:top w:w="130" w:type="dxa"/>
              <w:start w:w="55" w:type="dxa"/>
              <w:bottom w:w="130" w:type="dxa"/>
              <w:end w:w="55" w:type="dxa"/>
            </w:tcMar>
            <w:shd w:fill="1889D8"/>
            <w:tcBorders>
              <w:top w:val="single" w:sz="4" w:color="1889D8"/>
              <w:left w:val="single" w:sz="4" w:color="1889D8"/>
              <w:bottom w:val="single" w:sz="4" w:color="1889D8"/>
              <w:right w:val="single" w:sz="4" w:color="1889D8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Browser UI</w:t>
            </w:r>
          </w:p>
        </w:tc>
        <w:tc>
          <w:tcPr>
            <w:tcW w:type="dxa" w:w="1481"/>
            <w:tcMar>
              <w:top w:w="130" w:type="dxa"/>
              <w:start w:w="55" w:type="dxa"/>
              <w:bottom w:w="13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30"/>
              </w:rPr>
              <w:t>→</w:t>
            </w:r>
          </w:p>
        </w:tc>
        <w:tc>
          <w:tcPr>
            <w:tcW w:type="dxa" w:w="1481"/>
            <w:tcMar>
              <w:top w:w="130" w:type="dxa"/>
              <w:start w:w="55" w:type="dxa"/>
              <w:bottom w:w="130" w:type="dxa"/>
              <w:end w:w="55" w:type="dxa"/>
            </w:tcMar>
            <w:shd w:fill="0AA876"/>
            <w:tcBorders>
              <w:top w:val="single" w:sz="4" w:color="0AA876"/>
              <w:left w:val="single" w:sz="4" w:color="0AA876"/>
              <w:bottom w:val="single" w:sz="4" w:color="0AA876"/>
              <w:right w:val="single" w:sz="4" w:color="0AA87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Python API</w:t>
            </w:r>
          </w:p>
        </w:tc>
        <w:tc>
          <w:tcPr>
            <w:tcW w:type="dxa" w:w="1481"/>
            <w:tcMar>
              <w:top w:w="130" w:type="dxa"/>
              <w:start w:w="55" w:type="dxa"/>
              <w:bottom w:w="13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30"/>
              </w:rPr>
              <w:t>→</w:t>
            </w:r>
          </w:p>
        </w:tc>
        <w:tc>
          <w:tcPr>
            <w:tcW w:type="dxa" w:w="1481"/>
            <w:tcMar>
              <w:top w:w="130" w:type="dxa"/>
              <w:start w:w="55" w:type="dxa"/>
              <w:bottom w:w="130" w:type="dxa"/>
              <w:end w:w="55" w:type="dxa"/>
            </w:tcMar>
            <w:shd w:fill="0C8E85"/>
            <w:tcBorders>
              <w:top w:val="single" w:sz="4" w:color="0C8E85"/>
              <w:left w:val="single" w:sz="4" w:color="0C8E85"/>
              <w:bottom w:val="single" w:sz="4" w:color="0C8E85"/>
              <w:right w:val="single" w:sz="4" w:color="0C8E8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SQLite</w:t>
            </w:r>
          </w:p>
        </w:tc>
        <w:tc>
          <w:tcPr>
            <w:tcW w:type="dxa" w:w="1481"/>
            <w:tcMar>
              <w:top w:w="130" w:type="dxa"/>
              <w:start w:w="55" w:type="dxa"/>
              <w:bottom w:w="13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color w:val="0B2F4A"/>
                <w:sz w:val="30"/>
              </w:rPr>
              <w:t>+</w:t>
            </w:r>
          </w:p>
        </w:tc>
        <w:tc>
          <w:tcPr>
            <w:tcW w:type="dxa" w:w="1481"/>
            <w:tcMar>
              <w:top w:w="130" w:type="dxa"/>
              <w:start w:w="55" w:type="dxa"/>
              <w:bottom w:w="130" w:type="dxa"/>
              <w:end w:w="55" w:type="dxa"/>
            </w:tcMar>
            <w:shd w:fill="F4B942"/>
            <w:tcBorders>
              <w:top w:val="single" w:sz="4" w:color="F4B942"/>
              <w:left w:val="single" w:sz="4" w:color="F4B942"/>
              <w:bottom w:val="single" w:sz="4" w:color="F4B942"/>
              <w:right w:val="single" w:sz="4" w:color="F4B94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Z.AI / Ollama</w:t>
            </w:r>
          </w:p>
        </w:tc>
      </w:tr>
    </w:tbl>
    <w:p>
      <w:pPr>
        <w:pStyle w:val="Heading2"/>
      </w:pPr>
      <w:r>
        <w:t>Project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Vantras_EHS_Academy/</w:t>
              <w:br/>
              <w:t>├── app.py                         # application entry point</w:t>
              <w:br/>
              <w:t>├── backend/main.py                # HTTP API, auth, DB and AI provider logic</w:t>
              <w:br/>
              <w:t>├── database/vantras.db            # local SQLite data</w:t>
              <w:br/>
              <w:t>├── database/schema.sql            # production-oriented relational schema</w:t>
              <w:br/>
              <w:t>├── frontend/                      # HTML, JavaScript, styles and managed assets</w:t>
              <w:br/>
              <w:t>│   ├── app.js                     # main UI/workflows</w:t>
              <w:br/>
              <w:t>│   ├── dashboard.js/.css          # unified dashboard system</w:t>
              <w:br/>
              <w:t>│   └── workspace-details.js       # detail-oriented workspaces</w:t>
              <w:br/>
              <w:t>├── deployment/                    # Docker, Compose, Nginx and CI assets</w:t>
              <w:br/>
              <w:t>├── tests/                         # smoke, functionality, AI, layout and asset checks</w:t>
              <w:br/>
              <w:t>├── .env.example                   # safe environment template</w:t>
              <w:br/>
              <w:t>└── README.md</w:t>
            </w:r>
          </w:p>
        </w:tc>
      </w:tr>
    </w:tbl>
    <w:p>
      <w:pPr>
        <w:pStyle w:val="Heading2"/>
      </w:pPr>
      <w:r>
        <w:t>Included deployment assets</w:t>
      </w:r>
    </w:p>
    <w:p>
      <w:pPr>
        <w:pStyle w:val="ListBullet"/>
        <w:spacing w:after="50"/>
      </w:pPr>
      <w:r>
        <w:t>Python 3.12 slim Docker image configuration exposing port 8173.</w:t>
      </w:r>
    </w:p>
    <w:p>
      <w:pPr>
        <w:pStyle w:val="ListBullet"/>
        <w:spacing w:after="50"/>
      </w:pPr>
      <w:r>
        <w:t>Docker Compose service with persisted database volume.</w:t>
      </w:r>
    </w:p>
    <w:p>
      <w:pPr>
        <w:pStyle w:val="ListBullet"/>
        <w:spacing w:after="50"/>
      </w:pPr>
      <w:r>
        <w:t>Nginx configuration and GitHub Actions CI workflow for engineering continuation.</w:t>
      </w:r>
    </w:p>
    <w:p>
      <w:r>
        <w:br w:type="page"/>
      </w:r>
    </w:p>
    <w:p>
      <w:pPr>
        <w:pStyle w:val="SectionLabel"/>
      </w:pPr>
      <w:r>
        <w:t>08  DATA, AUTHENTICATION &amp; SECURITY</w:t>
      </w:r>
    </w:p>
    <w:p>
      <w:pPr>
        <w:pStyle w:val="Heading1"/>
      </w:pPr>
      <w:r>
        <w:t>Local persistence and security controls</w:t>
      </w:r>
    </w:p>
    <w:p>
      <w:pPr>
        <w:pStyle w:val="Heading2"/>
      </w:pPr>
      <w:r>
        <w:t>What is persisted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Identity &amp; roles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Registered users, contact fields, stored role and role-specific profile data.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Learning state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Enrollments, lesson progress, video progress and course completion data.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Assessment state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Assessment attempts, question-level results, scores and pass/fail outcomes.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Commerce state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Checkout records, orders, payments, refunds, invoices and coupon data structures.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Credentials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Certificates and public verification records.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Operations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Corporate employees/enrollments, live sessions, attendance, messages, resources, support and audit-related records.</w:t>
            </w:r>
          </w:p>
        </w:tc>
      </w:tr>
    </w:tbl>
    <w:p>
      <w:pPr>
        <w:pStyle w:val="Heading2"/>
      </w:pPr>
      <w:r>
        <w:t>Current local security behavior</w:t>
      </w:r>
    </w:p>
    <w:p>
      <w:pPr>
        <w:pStyle w:val="ListBullet"/>
        <w:spacing w:after="50"/>
      </w:pPr>
      <w:r>
        <w:t>Passwords are stored using PBKDF2-HMAC-SHA256 with per-password salt and 120,000 iterations.</w:t>
      </w:r>
    </w:p>
    <w:p>
      <w:pPr>
        <w:pStyle w:val="ListBullet"/>
        <w:spacing w:after="50"/>
      </w:pPr>
      <w:r>
        <w:t>Login creates an HttpOnly, SameSite=Lax session cookie with a 24-hour local session lifetime.</w:t>
      </w:r>
    </w:p>
    <w:p>
      <w:pPr>
        <w:pStyle w:val="ListBullet"/>
        <w:spacing w:after="50"/>
      </w:pPr>
      <w:r>
        <w:t>Role checks protect portal routes; Student assessment endpoints also verify course enrollment server-side.</w:t>
      </w:r>
    </w:p>
    <w:p>
      <w:pPr>
        <w:pStyle w:val="ListBullet"/>
        <w:spacing w:after="50"/>
      </w:pPr>
      <w:r>
        <w:t>The .env.example file contains no real Z.AI API key.</w:t>
      </w:r>
    </w:p>
    <w:p>
      <w:r>
        <w:br w:type="page"/>
      </w:r>
    </w:p>
    <w:p>
      <w:pPr>
        <w:pStyle w:val="SectionLabel"/>
      </w:pPr>
      <w:r>
        <w:t>08A  PRODUCTION HARDENING</w:t>
      </w:r>
    </w:p>
    <w:p>
      <w:pPr>
        <w:pStyle w:val="Heading1"/>
      </w:pPr>
      <w:r>
        <w:t>Controls required before production launch</w:t>
      </w:r>
    </w:p>
    <w:p>
      <w:r>
        <w:t>The local release intentionally keeps infrastructure simple. These are the main controls to complete before external or production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728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Control area</w:t>
            </w:r>
          </w:p>
        </w:tc>
        <w:tc>
          <w:tcPr>
            <w:tcW w:type="dxa" w:w="7056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Recommended production step</w:t>
            </w:r>
          </w:p>
        </w:tc>
        <w:tc>
          <w:tcPr>
            <w:tcW w:type="dxa" w:w="1296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Identity</w:t>
            </w:r>
          </w:p>
        </w:tc>
        <w:tc>
          <w:tcPr>
            <w:tcW w:type="dxa" w:w="705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Move to organization-approved SSO/MFA; formalize password reset and account lifecycle.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C84646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Sessions</w:t>
            </w:r>
          </w:p>
        </w:tc>
        <w:tc>
          <w:tcPr>
            <w:tcW w:type="dxa" w:w="705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Use HTTPS-only Secure cookies, CSRF defenses, centralized session storage and stricter expiry/rotation policies.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C84646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Data</w:t>
            </w:r>
          </w:p>
        </w:tc>
        <w:tc>
          <w:tcPr>
            <w:tcW w:type="dxa" w:w="705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Move shared production data from local SQLite to managed PostgreSQL or equivalent; add backups, DR and migrations.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C84646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Payments</w:t>
            </w:r>
          </w:p>
        </w:tc>
        <w:tc>
          <w:tcPr>
            <w:tcW w:type="dxa" w:w="705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Replace local payment simulation with verified payment gateway callbacks/webhooks, signature checks and reconciliation.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C84646"/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AI</w:t>
            </w:r>
          </w:p>
        </w:tc>
        <w:tc>
          <w:tcPr>
            <w:tcW w:type="dxa" w:w="705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Centralize secrets, add provider monitoring, rate limits, content controls and usage governance.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F4B942"/>
                <w:sz w:val="15"/>
              </w:rPr>
              <w:t>Medium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Operations</w:t>
            </w:r>
          </w:p>
        </w:tc>
        <w:tc>
          <w:tcPr>
            <w:tcW w:type="dxa" w:w="705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Add centralized logs, metrics, tracing, alerting, WAF/rate limiting and formal security testing.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C84646"/>
                <w:sz w:val="15"/>
              </w:rPr>
              <w:t>High</w:t>
            </w:r>
          </w:p>
        </w:tc>
      </w:tr>
    </w:tbl>
    <w:p>
      <w:r>
        <w:br w:type="page"/>
      </w:r>
    </w:p>
    <w:p>
      <w:pPr>
        <w:pStyle w:val="SectionLabel"/>
      </w:pPr>
      <w:r>
        <w:t>09  HOW TO RUN</w:t>
      </w:r>
    </w:p>
    <w:p>
      <w:pPr>
        <w:pStyle w:val="Heading1"/>
      </w:pPr>
      <w:r>
        <w:t>Local run guide - Windows, macOS and Linux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2FBF7"/>
            <w:tcBorders>
              <w:top w:val="single" w:sz="4" w:color="D9E7EC"/>
              <w:left w:val="single" w:sz="18" w:color="0AA876"/>
              <w:bottom w:val="single" w:sz="4" w:color="D9E7EC"/>
              <w:right w:val="single" w:sz="4" w:color="D9E7EC"/>
            </w:tcBorders>
            <w:tcMar>
              <w:top w:w="130" w:type="dxa"/>
              <w:start w:w="170" w:type="dxa"/>
              <w:bottom w:w="130" w:type="dxa"/>
              <w:end w:w="150" w:type="dxa"/>
            </w:tcMar>
          </w:tcPr>
          <w:p>
            <w:r>
              <w:rPr>
                <w:b/>
                <w:color w:val="0B2F4A"/>
                <w:sz w:val="21"/>
              </w:rPr>
              <w:t>Prerequisite</w:t>
            </w:r>
          </w:p>
          <w:p>
            <w:pPr>
              <w:spacing w:after="0"/>
            </w:pPr>
            <w:r>
              <w:rPr>
                <w:color w:val="17384D"/>
                <w:sz w:val="17"/>
              </w:rPr>
              <w:t>Python 3.10 or newer. The local application does not require third-party Python packages.</w:t>
            </w:r>
          </w:p>
        </w:tc>
      </w:tr>
    </w:tbl>
    <w:p>
      <w:pPr>
        <w:pStyle w:val="Heading2"/>
      </w:pPr>
      <w:r>
        <w:t>A. Windows</w:t>
      </w:r>
    </w:p>
    <w:p>
      <w:pPr>
        <w:pStyle w:val="ListNumber"/>
        <w:spacing w:after="50"/>
      </w:pPr>
      <w:r>
        <w:t>Extract the project ZIP and open Command Prompt or PowerShell in the Vantras_EHS_Academy folder.</w:t>
      </w:r>
    </w:p>
    <w:p>
      <w:pPr>
        <w:pStyle w:val="ListNumber"/>
        <w:spacing w:after="50"/>
      </w:pPr>
      <w:r>
        <w:t>Verify Python: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py --version</w:t>
              <w:br/>
              <w:t># or</w:t>
              <w:br/>
              <w:t>python --version</w:t>
            </w:r>
          </w:p>
        </w:tc>
      </w:tr>
    </w:tbl>
    <w:p>
      <w:pPr>
        <w:pStyle w:val="ListNumber"/>
        <w:spacing w:after="50"/>
      </w:pPr>
      <w:r>
        <w:t>Optional AI setup: create a local .env file from the safe template.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copy .env.example .env</w:t>
            </w:r>
          </w:p>
        </w:tc>
      </w:tr>
    </w:tbl>
    <w:p>
      <w:pPr>
        <w:pStyle w:val="ListNumber"/>
        <w:spacing w:after="50"/>
      </w:pPr>
      <w:r>
        <w:t>Add your private ZAI_API_KEY to .env if cloud AI is required. Do not add the key to .env.example.</w:t>
      </w:r>
    </w:p>
    <w:p>
      <w:pPr>
        <w:pStyle w:val="ListNumber"/>
        <w:spacing w:after="50"/>
      </w:pPr>
      <w:r>
        <w:t>Start the application: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py app.py</w:t>
              <w:br/>
              <w:t># or</w:t>
              <w:br/>
              <w:t>python app.py</w:t>
            </w:r>
          </w:p>
        </w:tc>
      </w:tr>
    </w:tbl>
    <w:p>
      <w:pPr>
        <w:pStyle w:val="ListNumber"/>
        <w:spacing w:after="50"/>
      </w:pPr>
      <w:r>
        <w:t>Open the application if the browser does not open automatically: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http://127.0.0.1:8173</w:t>
            </w:r>
          </w:p>
        </w:tc>
      </w:tr>
    </w:tbl>
    <w:p>
      <w:pPr>
        <w:pStyle w:val="Heading2"/>
      </w:pPr>
      <w:r>
        <w:t>B. macOS / Linux</w:t>
      </w:r>
    </w:p>
    <w:p>
      <w:pPr>
        <w:pStyle w:val="ListNumber"/>
        <w:spacing w:after="50"/>
      </w:pPr>
      <w:r>
        <w:t>Open Terminal in the Vantras_EHS_Academy folder and verify Python.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python3 --version</w:t>
            </w:r>
          </w:p>
        </w:tc>
      </w:tr>
    </w:tbl>
    <w:p>
      <w:pPr>
        <w:pStyle w:val="ListNumber"/>
        <w:spacing w:after="50"/>
      </w:pPr>
      <w:r>
        <w:t>Optional AI setup and start: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cp .env.example .env</w:t>
              <w:br/>
              <w:t># edit .env and add your private ZAI_API_KEY if needed</w:t>
              <w:br/>
              <w:t>python3 app.py</w:t>
            </w:r>
          </w:p>
        </w:tc>
      </w:tr>
    </w:tbl>
    <w:p>
      <w:pPr>
        <w:pStyle w:val="ListNumber"/>
        <w:spacing w:after="50"/>
      </w:pPr>
      <w:r>
        <w:t>Open http://127.0.0.1:8173 in a browser.</w:t>
      </w:r>
    </w:p>
    <w:p>
      <w:pPr>
        <w:pStyle w:val="Heading2"/>
      </w:pPr>
      <w:r>
        <w:t>Stop the server</w:t>
      </w:r>
    </w:p>
    <w:p>
      <w:r>
        <w:t>Return to the terminal window running the application and press Ctrl+C.</w:t>
      </w:r>
    </w:p>
    <w:p>
      <w:r>
        <w:br w:type="page"/>
      </w:r>
    </w:p>
    <w:p>
      <w:pPr>
        <w:pStyle w:val="SectionLabel"/>
      </w:pPr>
      <w:r>
        <w:t>10  ENVIRONMENT, ACCESS &amp; TROUBLESHOOTING</w:t>
      </w:r>
    </w:p>
    <w:p>
      <w:pPr>
        <w:pStyle w:val="Heading1"/>
      </w:pPr>
      <w:r>
        <w:t>Configuration and local access</w:t>
      </w:r>
    </w:p>
    <w:p>
      <w:pPr>
        <w:pStyle w:val="Heading2"/>
      </w:pPr>
      <w:r>
        <w:t>Important environment values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448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232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4608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VANTRAS_HOST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127.0.0.1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Local bind address.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VANTRAS_PORT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8173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Default local port.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VANTRAS_NO_BROWSER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0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0 allows automatic browser opening; set 1 to disable.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ZAI_MODEL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glm-4.5-flash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Primary cloud AI model.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ZAI_FREE_FALLBACK_MODEL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glm-4.7-flash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Secondary Z.AI model.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OLLAMA_MODEL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qwen2.5:7b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Local AI model.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AI_PROVIDER_RACE</w:t>
            </w:r>
          </w:p>
        </w:tc>
        <w:tc>
          <w:tcPr>
            <w:tcW w:type="dxa" w:w="2232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true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Allows cloud/local providers to compete for first complete successful answer.</w:t>
            </w:r>
          </w:p>
        </w:tc>
      </w:tr>
    </w:tbl>
    <w:p>
      <w:pPr>
        <w:pStyle w:val="Heading2"/>
      </w:pPr>
      <w:r>
        <w:t>Local walkthrough accounts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015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Portal</w:t>
            </w:r>
          </w:p>
        </w:tc>
        <w:tc>
          <w:tcPr>
            <w:tcW w:type="dxa" w:w="4608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736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Password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Student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student@vantras.demo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student123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Trainer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trainer@vantras.demo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trainer123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Corporate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corporate@vantras.demo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corporate123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Admin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admin@vantras.demo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admin123</w:t>
            </w:r>
          </w:p>
        </w:tc>
      </w:tr>
    </w:tbl>
    <w:p>
      <w:pPr>
        <w:pStyle w:val="Heading2"/>
      </w:pPr>
      <w:r>
        <w:t>Change the 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Windows PowerShell:</w:t>
              <w:br/>
              <w:t>$env:VANTRAS_PORT="8199"; py app.py</w:t>
              <w:br/>
              <w:br/>
              <w:t>macOS / Linux:</w:t>
              <w:br/>
              <w:t>VANTRAS_PORT=8199 python3 app.py</w:t>
            </w:r>
          </w:p>
        </w:tc>
      </w:tr>
    </w:tbl>
    <w:p>
      <w:pPr>
        <w:pStyle w:val="Heading2"/>
      </w:pPr>
      <w:r>
        <w:t>Common troubleshooting</w:t>
      </w:r>
    </w:p>
    <w:p>
      <w:pPr>
        <w:pStyle w:val="ListBullet"/>
        <w:spacing w:after="50"/>
      </w:pPr>
      <w:r>
        <w:t>Port conflict: set another VANTRAS_PORT and restart.</w:t>
      </w:r>
    </w:p>
    <w:p>
      <w:pPr>
        <w:pStyle w:val="ListBullet"/>
        <w:spacing w:after="50"/>
      </w:pPr>
      <w:r>
        <w:t>Cloud AI issue: confirm .env and ZAI_API_KEY, then restart the server.</w:t>
      </w:r>
    </w:p>
    <w:p>
      <w:pPr>
        <w:pStyle w:val="ListBullet"/>
        <w:spacing w:after="50"/>
      </w:pPr>
      <w:r>
        <w:t>Ollama issue: confirm Ollama is installed and qwen2.5:7b is available.</w:t>
      </w:r>
    </w:p>
    <w:p>
      <w:pPr>
        <w:pStyle w:val="ListBullet"/>
        <w:spacing w:after="50"/>
      </w:pPr>
      <w:r>
        <w:t>Before destructive testing, back up database/vantras.db.</w:t>
      </w:r>
    </w:p>
    <w:p>
      <w:pPr>
        <w:pStyle w:val="SectionLabel"/>
        <w:pageBreakBefore/>
      </w:pPr>
      <w:r>
        <w:t>11  VALIDATION &amp; DEPLOYMENT</w:t>
      </w:r>
    </w:p>
    <w:p>
      <w:pPr>
        <w:pStyle w:val="Heading1"/>
      </w:pPr>
      <w:r>
        <w:t>Checks completed on this release</w:t>
      </w:r>
    </w:p>
    <w:p>
      <w:r>
        <w:t>The latest cleaned release was re-validated before this handover document was prepared.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096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1296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4968"/>
            <w:shd w:fill="0B2F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Application smoke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Core server and main routes.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All portal API smoke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Student, Trainer, Corporate and Admin APIs.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Functionality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Primary workflows and UI/backend behavior.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Concurrent AI fallback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AI provider fallback/race behavior.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Managed assets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Required current media references.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Detail workspaces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Role-specific detailed record views.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Unified dashboard layout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Dashboard alignment and layout rules.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Dashboard-only Agentic AI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Student dashboard AI/Copilot scope.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JavaScript syntax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app.js, workspace-details.js and dashboard.js.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b/>
                <w:color w:val="123F5D"/>
                <w:sz w:val="15"/>
              </w:rPr>
              <w:t>SQLite integrity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PASS</w:t>
            </w:r>
          </w:p>
        </w:tc>
        <w:tc>
          <w:tcPr>
            <w:tcW w:type="dxa" w:w="4968"/>
            <w:tcMar>
              <w:top w:w="85" w:type="dxa"/>
              <w:start w:w="90" w:type="dxa"/>
              <w:bottom w:w="85" w:type="dxa"/>
              <w:end w:w="90" w:type="dxa"/>
            </w:tcMar>
            <w:shd w:fill="F8FBFC"/>
            <w:tcBorders>
              <w:bottom w:val="single" w:sz="3" w:color="D9E7EC"/>
            </w:tcBorders>
          </w:tcPr>
          <w:p>
            <w:r>
              <w:rPr>
                <w:color w:val="17384D"/>
                <w:sz w:val="15"/>
              </w:rPr>
              <w:t>PRAGMA integrity_check = ok.</w:t>
            </w:r>
          </w:p>
        </w:tc>
      </w:tr>
    </w:tbl>
    <w:p>
      <w:pPr>
        <w:pStyle w:val="Heading2"/>
      </w:pPr>
      <w:r>
        <w:t>Docker run option</w:t>
      </w:r>
    </w:p>
    <w:p>
      <w:r>
        <w:t>From the project root, Docker users can build and run the provided service configuration: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3F6F8"/>
            <w:tcBorders>
              <w:top w:val="single" w:sz="3" w:color="D9E7EC"/>
              <w:left w:val="single" w:sz="10" w:color="1889D8"/>
              <w:bottom w:val="single" w:sz="3" w:color="D9E7EC"/>
              <w:right w:val="single" w:sz="3" w:color="D9E7EC"/>
            </w:tcBorders>
            <w:tcMar>
              <w:top w:w="100" w:type="dxa"/>
              <w:start w:w="14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docker compose -f deployment/docker-compose.yml up --build</w:t>
            </w:r>
          </w:p>
        </w:tc>
      </w:tr>
    </w:tbl>
    <w:p>
      <w:r>
        <w:t>Then open http://127.0.0.1:8173. The Compose file mounts the database directory for local persistence.</w:t>
      </w:r>
    </w:p>
    <w:p>
      <w:r>
        <w:br w:type="page"/>
      </w:r>
    </w:p>
    <w:p>
      <w:pPr>
        <w:pStyle w:val="SectionLabel"/>
      </w:pPr>
      <w:r>
        <w:t>12  HANDOVER SUMMARY</w:t>
      </w:r>
    </w:p>
    <w:p>
      <w:pPr>
        <w:pStyle w:val="Heading1"/>
      </w:pPr>
      <w:r>
        <w:t>Recommended next steps</w:t>
      </w:r>
    </w:p>
    <w:p>
      <w:r>
        <w:t>The application is in a strong state for stakeholder review and engineering continuation. The next phase should focus less on visual iteration and more on production integrations, governance and acceptance testing.</w:t>
      </w:r>
    </w:p>
    <w:p>
      <w:pPr>
        <w:pStyle w:val="Heading2"/>
      </w:pPr>
      <w:r>
        <w:t>Management review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Product review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Confirm portal scope, terminology, dashboard priorities and user journeys.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Content review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Confirm EHS course/resource wording and production learning content ownership.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Security review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Approve SSO/MFA, secrets, session, payment and infrastructure controls.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AI governance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Approve providers, usage policy, data boundaries, monitoring and fallback behavior.</w:t>
            </w:r>
          </w:p>
        </w:tc>
      </w:tr>
      <w:tr>
        <w:trPr>
          <w:cantSplit/>
        </w:trPr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0AA876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Deployment decision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Choose hosting, production database, media storage and observability stack.</w:t>
            </w:r>
          </w:p>
        </w:tc>
        <w:tc>
          <w:tcPr>
            <w:tcW w:type="dxa" w:w="5184"/>
            <w:tcMar>
              <w:top w:w="125" w:type="dxa"/>
              <w:start w:w="135" w:type="dxa"/>
              <w:bottom w:w="115" w:type="dxa"/>
              <w:end w:w="135" w:type="dxa"/>
            </w:tcMar>
            <w:tcBorders>
              <w:top w:val="single" w:sz="7" w:color="1889D8"/>
              <w:left w:val="single" w:sz="4" w:color="D9E7EC"/>
              <w:bottom w:val="single" w:sz="4" w:color="D9E7EC"/>
              <w:right w:val="single" w:sz="4" w:color="D9E7EC"/>
            </w:tcBorders>
          </w:tcPr>
          <w:p>
            <w:r>
              <w:rPr>
                <w:b/>
                <w:color w:val="0B2F4A"/>
                <w:sz w:val="20"/>
              </w:rPr>
              <w:t>Release plan</w:t>
            </w:r>
          </w:p>
          <w:p>
            <w:pPr>
              <w:spacing w:after="0"/>
            </w:pPr>
            <w:r>
              <w:rPr>
                <w:color w:val="647B8C"/>
                <w:sz w:val="16"/>
              </w:rPr>
              <w:t>Define UAT, security testing, data migration, training and go-live acceptance criteria.</w:t>
            </w:r>
          </w:p>
        </w:tc>
      </w:tr>
    </w:tbl>
    <w:p>
      <w:pPr>
        <w:pStyle w:val="Heading2"/>
      </w:pPr>
      <w:r>
        <w:t>Recommended delivery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0B2F4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56"/>
            <w:shd w:fill="0B2F4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56"/>
            <w:shd w:fill="0B2F4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7384D"/>
                <w:sz w:val="16"/>
              </w:rPr>
              <w:t>P0</w:t>
            </w:r>
          </w:p>
        </w:tc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6"/>
              </w:rPr>
              <w:t>Identity + security</w:t>
            </w:r>
          </w:p>
        </w:tc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6"/>
              </w:rPr>
              <w:t>SSO/MFA, secure sessions, secrets, access governance and security testing.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  <w:shd w:fill="F8FBFC"/>
          </w:tcPr>
          <w:p>
            <w:r>
              <w:rPr>
                <w:b/>
                <w:color w:val="17384D"/>
                <w:sz w:val="16"/>
              </w:rPr>
              <w:t>P0</w:t>
            </w:r>
          </w:p>
        </w:tc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  <w:shd w:fill="F8FBFC"/>
          </w:tcPr>
          <w:p>
            <w:r>
              <w:rPr>
                <w:b w:val="0"/>
                <w:color w:val="17384D"/>
                <w:sz w:val="16"/>
              </w:rPr>
              <w:t>Payments + data</w:t>
            </w:r>
          </w:p>
        </w:tc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  <w:shd w:fill="F8FBFC"/>
          </w:tcPr>
          <w:p>
            <w:r>
              <w:rPr>
                <w:b w:val="0"/>
                <w:color w:val="17384D"/>
                <w:sz w:val="16"/>
              </w:rPr>
              <w:t>Verified payment gateway, managed production database, backups and migration plan.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/>
                <w:color w:val="17384D"/>
                <w:sz w:val="16"/>
              </w:rPr>
              <w:t>P1</w:t>
            </w:r>
          </w:p>
        </w:tc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6"/>
              </w:rPr>
              <w:t>Observability</w:t>
            </w:r>
          </w:p>
        </w:tc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</w:tcPr>
          <w:p>
            <w:r>
              <w:rPr>
                <w:b w:val="0"/>
                <w:color w:val="17384D"/>
                <w:sz w:val="16"/>
              </w:rPr>
              <w:t>Centralized logs, metrics, alerting and AI/provider monitoring.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  <w:shd w:fill="F8FBFC"/>
          </w:tcPr>
          <w:p>
            <w:r>
              <w:rPr>
                <w:b/>
                <w:color w:val="17384D"/>
                <w:sz w:val="16"/>
              </w:rPr>
              <w:t>P1</w:t>
            </w:r>
          </w:p>
        </w:tc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  <w:shd w:fill="F8FBFC"/>
          </w:tcPr>
          <w:p>
            <w:r>
              <w:rPr>
                <w:b w:val="0"/>
                <w:color w:val="17384D"/>
                <w:sz w:val="16"/>
              </w:rPr>
              <w:t>UAT + content</w:t>
            </w:r>
          </w:p>
        </w:tc>
        <w:tc>
          <w:tcPr>
            <w:tcW w:type="dxa" w:w="3456"/>
            <w:tcMar>
              <w:top w:w="95" w:type="dxa"/>
              <w:start w:w="90" w:type="dxa"/>
              <w:bottom w:w="95" w:type="dxa"/>
              <w:end w:w="90" w:type="dxa"/>
            </w:tcMar>
            <w:tcBorders>
              <w:bottom w:val="single" w:sz="3" w:color="D9E7EC"/>
            </w:tcBorders>
            <w:shd w:fill="F8FBFC"/>
          </w:tcPr>
          <w:p>
            <w:r>
              <w:rPr>
                <w:b w:val="0"/>
                <w:color w:val="17384D"/>
                <w:sz w:val="16"/>
              </w:rPr>
              <w:t>Business acceptance testing, final EHS content, workflow sign-off and training.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2F8FC"/>
            <w:tcBorders>
              <w:top w:val="single" w:sz="4" w:color="D9E7EC"/>
              <w:left w:val="single" w:sz="18" w:color="1889D8"/>
              <w:bottom w:val="single" w:sz="4" w:color="D9E7EC"/>
              <w:right w:val="single" w:sz="4" w:color="D9E7EC"/>
            </w:tcBorders>
            <w:tcMar>
              <w:top w:w="130" w:type="dxa"/>
              <w:start w:w="170" w:type="dxa"/>
              <w:bottom w:w="130" w:type="dxa"/>
              <w:end w:w="150" w:type="dxa"/>
            </w:tcMar>
          </w:tcPr>
          <w:p>
            <w:r>
              <w:rPr>
                <w:b/>
                <w:color w:val="0B2F4A"/>
                <w:sz w:val="21"/>
              </w:rPr>
              <w:t>Handover package</w:t>
            </w:r>
          </w:p>
          <w:p>
            <w:pPr>
              <w:spacing w:after="0"/>
            </w:pPr>
            <w:r>
              <w:rPr>
                <w:color w:val="17384D"/>
                <w:sz w:val="17"/>
              </w:rPr>
              <w:t>Project: Vantras_EHS_Academy_Clean_Dynamic_UI_v53.zip  •  Document: Vantras_EHS_Academy_Manager_Handover_v54.docx  •  The API key is intentionally excluded from the shareable project.</w:t>
            </w:r>
          </w:p>
        </w:tc>
      </w:tr>
    </w:tbl>
    <w:p>
      <w:pPr>
        <w:spacing w:before="300"/>
        <w:jc w:val="center"/>
      </w:pPr>
      <w:r>
        <w:rPr>
          <w:b/>
          <w:color w:val="0AA876"/>
          <w:sz w:val="17"/>
        </w:rPr>
        <w:t>READY FOR MANAGEMENT WALKTHROUGH &amp; UAT PLANNING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208"/>
      <w:gridCol w:w="2160"/>
    </w:tblGrid>
    <w:tr>
      <w:tc>
        <w:tcPr>
          <w:tcW w:type="dxa" w:w="5184"/>
          <w:tcBorders>
            <w:top w:val="single" w:sz="4" w:color="D9E7EC"/>
          </w:tcBorders>
          <w:tcMar>
            <w:top w:w="45" w:type="dxa"/>
            <w:start w:w="40" w:type="dxa"/>
            <w:bottom w:w="30" w:type="dxa"/>
            <w:end w:w="40" w:type="dxa"/>
          </w:tcMar>
        </w:tcPr>
        <w:p>
          <w:r>
            <w:rPr>
              <w:color w:val="647B8C"/>
              <w:sz w:val="15"/>
            </w:rPr>
            <w:t>Vantras EHS Academy  •  Management review copy</w:t>
          </w:r>
        </w:p>
      </w:tc>
      <w:tc>
        <w:tcPr>
          <w:tcW w:type="dxa" w:w="5184"/>
          <w:tcBorders>
            <w:top w:val="single" w:sz="4" w:color="D9E7EC"/>
          </w:tcBorders>
          <w:tcMar>
            <w:top w:w="45" w:type="dxa"/>
            <w:start w:w="40" w:type="dxa"/>
            <w:bottom w:w="30" w:type="dxa"/>
            <w:end w:w="40" w:type="dxa"/>
          </w:tcMar>
        </w:tcPr>
        <w:p>
          <w:pPr>
            <w:jc w:val="right"/>
          </w:pPr>
          <w:r>
            <w:rPr>
              <w:color w:val="647B8C"/>
              <w:sz w:val="16"/>
            </w:rPr>
            <w:t xml:space="preserve">Page </w:t>
          </w:r>
          <w:r>
            <w:rPr>
              <w:color w:val="647B8C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32"/>
      <w:gridCol w:w="8136"/>
    </w:tblGrid>
    <w:tr>
      <w:tc>
        <w:tcPr>
          <w:tcW w:type="dxa" w:w="5184"/>
          <w:tcBorders>
            <w:bottom w:val="single" w:sz="5" w:color="D9E7EC"/>
          </w:tcBorders>
          <w:tcMar>
            <w:top w:w="40" w:type="dxa"/>
            <w:start w:w="40" w:type="dxa"/>
            <w:bottom w:w="50" w:type="dxa"/>
            <w:end w:w="4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234440" cy="3526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3526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  <w:tcBorders>
            <w:bottom w:val="single" w:sz="5" w:color="D9E7EC"/>
          </w:tcBorders>
          <w:tcMar>
            <w:top w:w="40" w:type="dxa"/>
            <w:start w:w="40" w:type="dxa"/>
            <w:bottom w:w="50" w:type="dxa"/>
            <w:end w:w="40" w:type="dxa"/>
          </w:tcMar>
        </w:tcPr>
        <w:p>
          <w:pPr>
            <w:jc w:val="right"/>
          </w:pPr>
          <w:r>
            <w:rPr>
              <w:b/>
              <w:color w:val="123F5D"/>
              <w:sz w:val="16"/>
            </w:rPr>
            <w:t>Manager Handover &amp; Run Guide  |  Release v53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38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0B2F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23F5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C8E8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2F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after="40"/>
    </w:pPr>
    <w:rPr>
      <w:rFonts w:ascii="Aptos" w:hAnsi="Aptos"/>
      <w:b/>
      <w:color w:val="0AA876"/>
      <w:sz w:val="16"/>
    </w:rPr>
  </w:style>
  <w:style w:type="paragraph" w:customStyle="1" w:styleId="CodeBlock">
    <w:name w:val="Code Block"/>
    <w:pPr>
      <w:spacing w:before="20" w:after="20"/>
    </w:pPr>
    <w:rPr>
      <w:rFonts w:ascii="Courier New" w:hAnsi="Courier New"/>
      <w:color w:val="1738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