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C9C91B0" w:rsidP="5C9C91B0" w:rsidRDefault="5C9C91B0" w14:noSpellErr="1" w14:paraId="60933043" w14:textId="4D2DFB51">
      <w:pPr>
        <w:spacing w:before="0" w:beforeAutospacing="off" w:after="0" w:afterAutospacing="off" w:line="240" w:lineRule="auto"/>
        <w:ind w:firstLine="0"/>
        <w:jc w:val="center"/>
      </w:pPr>
      <w:r w:rsidRPr="5C9C91B0" w:rsidR="5C9C91B0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Lucian Blaga</w:t>
      </w:r>
    </w:p>
    <w:p w:rsidR="5C9C91B0" w:rsidP="5C9C91B0" w:rsidRDefault="5C9C91B0" w14:paraId="1A6C3968" w14:textId="7C939D27">
      <w:pPr>
        <w:spacing w:before="0" w:beforeAutospacing="off" w:after="0" w:afterAutospacing="off" w:line="240" w:lineRule="auto"/>
        <w:ind w:firstLine="720"/>
      </w:pPr>
    </w:p>
    <w:p w:rsidR="5C9C91B0" w:rsidP="5C9C91B0" w:rsidRDefault="5C9C91B0" w14:paraId="27FFF61A" w14:textId="6AD448E7">
      <w:pPr>
        <w:spacing w:before="0" w:beforeAutospacing="off" w:after="0" w:afterAutospacing="off" w:line="240" w:lineRule="auto"/>
        <w:ind w:firstLine="720"/>
      </w:pP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Lucian Blaga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 (n. 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9 mai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1895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, 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Lancrăm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, lângă 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Sebeș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, 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comitatul Sibiu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 - d. 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6 mai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1961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, 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Cluj</w:t>
      </w:r>
      <w:r w:rsidRPr="5C9C91B0" w:rsidR="5C9C91B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) a fost un filozof, poet, dramaturg, traducător, jurnalist, profesor universitar, academician și diplomat român. Personalitate impunătoare și polivalentă a culturii interbelice, Lucian Blaga a marcat perioada respectivă prin elemente de originalitate compatibile cu înscrierea sa în universalitate.</w:t>
      </w:r>
    </w:p>
    <w:p w:rsidR="5C9C91B0" w:rsidP="5C9C91B0" w:rsidRDefault="5C9C91B0" w14:paraId="74DFD320" w14:textId="75B6213F">
      <w:pPr>
        <w:pStyle w:val="Normal"/>
        <w:spacing w:before="0" w:beforeAutospacing="off" w:after="0" w:afterAutospacing="off" w:line="240" w:lineRule="auto"/>
        <w:ind w:firstLine="720"/>
      </w:pPr>
    </w:p>
    <w:p w:rsidR="5C9C91B0" w:rsidP="5C9C91B0" w:rsidRDefault="5C9C91B0" w14:paraId="282F21E1" w14:textId="731EA1A3">
      <w:pPr>
        <w:spacing w:before="0" w:beforeAutospacing="off" w:after="0" w:afterAutospacing="off" w:line="240" w:lineRule="auto"/>
        <w:ind w:firstLine="720"/>
      </w:pP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S-a născut la Lancrăm, lângă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Sebeș. Localitatea natală se afla atunci în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comitatul Sibiu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. Lucian Blaga a fost al nouălea copil al unei familii de preoți, fiul lui Isidor Blaga și al Anei (n. Moga)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.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Mama poetului, Ana Blaga, a murit în anul 1933 la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Sibiu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, în vârstă de 74 de ani. În luna august 1949, fratele poetului, Longin Blaga, a murit de asemenea în Sibiu.</w:t>
      </w:r>
    </w:p>
    <w:p w:rsidR="5C9C91B0" w:rsidP="5C9C91B0" w:rsidRDefault="5C9C91B0" w14:paraId="4681E062" w14:textId="19F2C3B9">
      <w:pPr>
        <w:spacing w:before="0" w:beforeAutospacing="off" w:after="0" w:afterAutospacing="off" w:line="240" w:lineRule="auto"/>
        <w:ind w:firstLine="720"/>
      </w:pP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Primele clase le-a urmat la Sebeș, la școala primară germană (1902-1906), după care a urmat Liceul „Andrei Șaguna” din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Brașov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(1906–1914), unde era profesor ruda sa, Iosif Blaga, autorul primului tratat românesc de teoria dramei.</w:t>
      </w:r>
    </w:p>
    <w:p w:rsidR="5C9C91B0" w:rsidP="5C9C91B0" w:rsidRDefault="5C9C91B0" w14:paraId="3A56C66A" w14:textId="4E7C6A3F">
      <w:pPr>
        <w:pStyle w:val="Normal"/>
        <w:spacing w:before="0" w:beforeAutospacing="off" w:after="0" w:afterAutospacing="off" w:line="240" w:lineRule="auto"/>
        <w:ind w:firstLine="720"/>
      </w:pPr>
    </w:p>
    <w:p w:rsidR="5C9C91B0" w:rsidP="5C9C91B0" w:rsidRDefault="5C9C91B0" w14:noSpellErr="1" w14:paraId="1DF3C175" w14:textId="74DAA886">
      <w:pPr>
        <w:spacing w:before="0" w:beforeAutospacing="off" w:after="0" w:afterAutospacing="off" w:line="240" w:lineRule="auto"/>
        <w:ind w:firstLine="720"/>
      </w:pP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A debutat în ziarele arădene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Tribuna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cu poezia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Pe țărm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(1910), și în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Românul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cu studiul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Reflecții asupra intuiției lui B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ergson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(1914). După moartea tatălui, familia se mută la Sebeș în 1909. În anul 1911 călătorește în Italia, unde își petrece timpul în librării, căutând cărți de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filosofie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, și vizitând vestigiile istorice ale acestei țări.</w:t>
      </w:r>
    </w:p>
    <w:p w:rsidR="5C9C91B0" w:rsidP="5C9C91B0" w:rsidRDefault="5C9C91B0" w14:noSpellErr="1" w14:paraId="31B1DB20" w14:textId="78E2A94B">
      <w:pPr>
        <w:pStyle w:val="Normal"/>
        <w:spacing w:before="0" w:beforeAutospacing="off" w:after="0" w:afterAutospacing="off" w:line="240" w:lineRule="auto"/>
        <w:ind w:firstLine="720"/>
      </w:pPr>
    </w:p>
    <w:p w:rsidR="5C9C91B0" w:rsidP="5C9C91B0" w:rsidRDefault="5C9C91B0" w14:paraId="7BC3A7CB" w14:textId="3873D10C">
      <w:pPr>
        <w:spacing w:before="0" w:beforeAutospacing="off" w:after="0" w:afterAutospacing="off" w:line="240" w:lineRule="auto"/>
        <w:ind w:firstLine="720"/>
      </w:pP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A urmat cursurile Facultății de Teologie din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Sibiu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și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Oradea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în perioada 1914–1916, pe care le-a finalizat cu licență în 1917. A studiat filosofia și biologia la Universitatea din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Viena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între anii 1916 și 1920, obținând titlul de doctor în filosofie. Aici a cunoscut-o pe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Cornelia Brediceanu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cea care îi va deveni soție. A revenit în țară în ajunul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Marii Uniri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. În anul 1916, în timpul verii, Blaga vizitează Viena, unde descoperă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Expresionismul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.</w:t>
      </w:r>
    </w:p>
    <w:p w:rsidR="5C9C91B0" w:rsidP="5C9C91B0" w:rsidRDefault="5C9C91B0" w14:paraId="1B792A32" w14:textId="06F5B54A">
      <w:pPr>
        <w:pStyle w:val="Normal"/>
        <w:spacing w:before="0" w:beforeAutospacing="off" w:after="0" w:afterAutospacing="off" w:line="240" w:lineRule="auto"/>
        <w:ind w:firstLine="720"/>
      </w:pPr>
    </w:p>
    <w:p w:rsidR="5C9C91B0" w:rsidP="5C9C91B0" w:rsidRDefault="5C9C91B0" w14:noSpellErr="1" w14:paraId="1EB7D73D" w14:textId="08DE6375">
      <w:pPr>
        <w:spacing w:before="0" w:beforeAutospacing="off" w:after="0" w:afterAutospacing="off" w:line="240" w:lineRule="auto"/>
        <w:ind w:firstLine="720"/>
      </w:pP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Publică la Sibiu, în 1919, placheta de versuri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Poemele luminii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(reeditată în același an la Cartea Românească, în București), precum și culegerea de aforisme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Pietre pentru templul meu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.</w:t>
      </w:r>
    </w:p>
    <w:p w:rsidR="5C9C91B0" w:rsidP="5C9C91B0" w:rsidRDefault="5C9C91B0" w14:paraId="185F6367" w14:textId="6978DCAF">
      <w:pPr>
        <w:spacing w:before="0" w:beforeAutospacing="off" w:after="0" w:afterAutospacing="off" w:line="240" w:lineRule="auto"/>
        <w:ind w:firstLine="720"/>
      </w:pP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Prima sa dramă,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Zamolxe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îi apare în ziarul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Voința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(1920), iar în volum în 1921, la Cluj, la Editura Institutului de Arte Grafice „Ardealul”. Academia Română îi decernează Premiul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Adamachi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pentru debut (1921).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Universitatea din Cluj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îi premiază piesa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Zamolxe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(1922). I se tipăresc primele traduceri de poezie în limba germană în revista cernauțeană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Die Brucke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(1922) (Podul). În 1924-1925, locuiește în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Lugoj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. A fost redactor la ziarele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Voința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și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Patria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membru in comitetul de direcție al revistei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Cultura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colaborator permanent la publicațiile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Gândirea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Adevărul literar și artistic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și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Cuvântul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.</w:t>
      </w:r>
    </w:p>
    <w:p w:rsidR="5C9C91B0" w:rsidP="5C9C91B0" w:rsidRDefault="5C9C91B0" w14:paraId="5359A166" w14:textId="2BCC0288">
      <w:pPr>
        <w:spacing w:before="0" w:beforeAutospacing="off" w:after="0" w:afterAutospacing="off" w:line="240" w:lineRule="auto"/>
        <w:ind w:firstLine="720"/>
      </w:pP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După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Dictatul de la Viena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se află în refugiu la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Sibiu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, însoțind Universitatea din Cluj (1940–1946). Conferențiază la Facultatea de Litere și Filosofie din Cluj (1946–1948). Are un rol major în formarea tinerilor care fac parte din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Cercul literar de la Sibiu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și o mare influență asupra lui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Ion Desideriu Sârbu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.</w:t>
      </w:r>
    </w:p>
    <w:p w:rsidR="5C9C91B0" w:rsidP="5C9C91B0" w:rsidRDefault="5C9C91B0" w14:paraId="734544A6" w14:textId="611059B9">
      <w:pPr>
        <w:spacing w:before="0" w:beforeAutospacing="off" w:after="0" w:afterAutospacing="off" w:line="240" w:lineRule="auto"/>
        <w:ind w:firstLine="720"/>
      </w:pP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Revenit în România reîntregită, s-a dăruit cauzei presei românești din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Transilvania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fiind redactor la revistele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Cultura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din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Cluj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și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Banatul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din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Lugoj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. A fost ales membru al Academiei Române în anul 1937. Discursul de recepție și l-a intitulat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Elogiul satului românesc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.</w:t>
      </w:r>
    </w:p>
    <w:p w:rsidR="5C9C91B0" w:rsidP="5C9C91B0" w:rsidRDefault="5C9C91B0" w14:paraId="46ED9C4F" w14:textId="1FDB400F">
      <w:pPr>
        <w:spacing w:before="0" w:beforeAutospacing="off" w:after="0" w:afterAutospacing="off" w:line="240" w:lineRule="auto"/>
        <w:ind w:firstLine="720"/>
      </w:pP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În anul 1939 a devenit profesor de filosofia culturii la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Universitatea din Cluj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mutată temporar la Sibiu în anii ce au urmat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dictatului de la Viena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(1940–1944). La Sibiu redactează, începând cu 1943, revista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Saeculum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care va apărea un an. A funcționat ca profesor universitar până în 1948, când a fost îndepărtat cu brutalitate de la catedră. Motivul este de natură politică: se pare că Blaga a refuzat invitația de a conduce Partidul Național Popular, un satelit al Partidului Comunist. Împreună cu el au fost înlăturați și conferențiarul și discipolul său,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Ion Desideriu Sârbu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și profesorii universitari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Liviu Călin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și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Nicolae Mărgineanu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.</w:t>
      </w:r>
    </w:p>
    <w:p w:rsidR="5C9C91B0" w:rsidP="5C9C91B0" w:rsidRDefault="5C9C91B0" w14:paraId="7BA0EF58" w14:textId="050F7C2B">
      <w:pPr>
        <w:pStyle w:val="Normal"/>
        <w:spacing w:before="0" w:beforeAutospacing="off" w:after="0" w:afterAutospacing="off" w:line="240" w:lineRule="auto"/>
        <w:ind w:firstLine="720"/>
      </w:pPr>
    </w:p>
    <w:p w:rsidR="5C9C91B0" w:rsidP="5C9C91B0" w:rsidRDefault="5C9C91B0" w14:paraId="060DDA06" w14:textId="05866A3B">
      <w:pPr>
        <w:spacing w:before="0" w:beforeAutospacing="off" w:after="0" w:afterAutospacing="off" w:line="240" w:lineRule="auto"/>
        <w:ind w:firstLine="720"/>
      </w:pP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Din 1948, fiind îndepărtat de la catedră, a lucrat în cadrul filialei din Cluj a Academiei Române ca bibliograf. Devine cercetător la Institutul de Istorie și Filosofie (1949–1951), apoi bibliotecar-șef (1951–1954) și director-adjunct (1954–1959) la filiala clujeană a Bibliotecii Academiei. Nu îi mai sunt publicate volumele și preferă să se ocupe de traduceri. În această perioadă a finalizat traducerea piesei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Faust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de Goethe, iar în 1958 apare primul volum din 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Opere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de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G.E. Lessing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în traducerea lui Lucian Blaga. A tradus poeți germani clasici și moderni. Poeziile scrise acum vor fi publicate postum. Tot în această perioadă scrie romanul cu tentă autobiografică</w:t>
      </w:r>
      <w:r w:rsidRPr="5C9C91B0" w:rsidR="5C9C91B0">
        <w:rPr>
          <w:rFonts w:ascii="Times New Roman" w:hAnsi="Times New Roman" w:eastAsia="Times New Roman" w:cs="Times New Roman"/>
          <w:i w:val="1"/>
          <w:iCs w:val="1"/>
          <w:color w:val="auto"/>
          <w:sz w:val="22"/>
          <w:szCs w:val="22"/>
        </w:rPr>
        <w:t>Luntrea lui Caron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publicat de asemenea postum. A decedat la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6 mai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1961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în 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Cluj</w:t>
      </w:r>
      <w:r w:rsidRPr="5C9C91B0" w:rsidR="5C9C91B0">
        <w:rPr>
          <w:rFonts w:ascii="Times New Roman" w:hAnsi="Times New Roman" w:eastAsia="Times New Roman" w:cs="Times New Roman"/>
          <w:color w:val="auto"/>
          <w:sz w:val="22"/>
          <w:szCs w:val="22"/>
        </w:rPr>
        <w:t>. Lucian Blaga a fost înmormântat în ziua sa de naștere, 9 mai, în cimitirul din Lancrăm.</w:t>
      </w:r>
    </w:p>
    <w:p w:rsidR="5C9C91B0" w:rsidP="5C9C91B0" w:rsidRDefault="5C9C91B0" w14:paraId="4CFFEA05" w14:textId="0A81EF35">
      <w:pPr>
        <w:pStyle w:val="Normal"/>
        <w:spacing w:before="0" w:beforeAutospacing="off" w:after="0" w:afterAutospacing="off" w:line="240" w:lineRule="auto"/>
        <w:ind w:firstLine="720"/>
      </w:pPr>
    </w:p>
    <w:p w:rsidR="5C9C91B0" w:rsidP="5C9C91B0" w:rsidRDefault="5C9C91B0" w14:paraId="19F9143E" w14:textId="68854B6C">
      <w:pPr>
        <w:spacing w:before="0" w:beforeAutospacing="off" w:after="0" w:afterAutospacing="off" w:line="240" w:lineRule="auto"/>
        <w:ind w:firstLine="720"/>
      </w:pPr>
      <w:r w:rsidRPr="50086A36" w:rsidR="50086A36">
        <w:rPr>
          <w:rFonts w:ascii="Times New Roman" w:hAnsi="Times New Roman" w:eastAsia="Times New Roman" w:cs="Times New Roman"/>
          <w:color w:val="auto"/>
          <w:sz w:val="22"/>
          <w:szCs w:val="22"/>
        </w:rPr>
        <w:t>În anul 1926 a intrat în diplomație, ocupând succesiv posturi de atașat cultural la legațiile României din Varșovia, Praga, Lisabona,Berna și Viena. A fost atașat și consilier de presă la Varșovia, Praga, Berna (1926–1936) și Viena (1936-1937),subsecretar de stat la Ministerul de Externe (1937–1938) și ministru plenipotențiar al României în Portugalia (1938–1939).</w:t>
      </w:r>
    </w:p>
    <w:p w:rsidR="5C9C91B0" w:rsidP="5C9C91B0" w:rsidRDefault="5C9C91B0" w14:noSpellErr="1" w14:paraId="2C3CC224" w14:textId="0D3924C5">
      <w:pPr>
        <w:pStyle w:val="Normal"/>
        <w:spacing w:before="0" w:beforeAutospacing="off" w:after="0" w:afterAutospacing="off" w:line="240" w:lineRule="auto"/>
        <w:ind w:firstLine="720"/>
      </w:pPr>
    </w:p>
    <w:sectPr w:rsidR="0063600C" w:rsidSect="0063600C"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0086A36"/>
    <w:rsid w:val="5C9C9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66b95956-6168-41a2-a0b9-b7dd1c3802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2015-11-11T17:13:23.4171192Z</dcterms:modified>
  <lastModifiedBy>bogdantatu10@gmail.com</lastModifiedBy>
</coreProperties>
</file>