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P="64D905BA" w:rsidRDefault="0063600C" w14:paraId="70DAD84D" wp14:noSpellErr="1" wp14:textId="2C70FD52">
      <w:pPr>
        <w:spacing w:after="0" w:afterAutospacing="off" w:line="240" w:lineRule="auto"/>
        <w:jc w:val="center"/>
      </w:pPr>
      <w:bookmarkStart w:name="_GoBack" w:id="0"/>
      <w:bookmarkEnd w:id="0"/>
      <w:r w:rsidRPr="64D905BA" w:rsidR="64D905BA">
        <w:rPr>
          <w:rFonts w:ascii="Times New Roman" w:hAnsi="Times New Roman" w:eastAsia="Times New Roman" w:cs="Times New Roman"/>
          <w:sz w:val="24"/>
          <w:szCs w:val="24"/>
        </w:rPr>
        <w:t>Mihail Sadoveanu</w:t>
      </w:r>
    </w:p>
    <w:p w:rsidR="64D905BA" w:rsidP="64D905BA" w:rsidRDefault="64D905BA" w14:noSpellErr="1" w14:paraId="18438592" w14:textId="51A14431">
      <w:pPr>
        <w:pStyle w:val="Normal"/>
        <w:spacing w:after="0" w:afterAutospacing="off" w:line="240" w:lineRule="auto"/>
        <w:jc w:val="center"/>
      </w:pPr>
    </w:p>
    <w:p w:rsidR="64D905BA" w:rsidP="64D905BA" w:rsidRDefault="64D905BA" w14:paraId="38F0831A" w14:textId="2CD24170">
      <w:pPr>
        <w:spacing w:after="0" w:afterAutospacing="off" w:line="240" w:lineRule="auto"/>
        <w:ind w:firstLine="720"/>
        <w:jc w:val="left"/>
      </w:pPr>
      <w:r w:rsidRPr="64D905BA" w:rsidR="64D905B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Mihail Sadoveanu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(n.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5 noiembrie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1880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Pașcani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- d.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19 octombrie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1961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Vânători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-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Neamț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) a fost un scriitor, povestitor, nuvelist, romancier, academician și om politic român. Este unul dintre cei mai importanți și prolifici prozatori români din prima jumătate a secolului al XX-lea, având o carieră ce se întinde pe parcursul a cincizeci de ani. Este cunosc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ut mai ales pentru romanele sale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istorice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și de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aventuri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, deși autorul a creat pagini nemuritoare despre lumea țărănească din Moldova, despre natura României și a scris, de asemenea, reportaje și pagini memorialistice.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Sadoveanu a fost unul din primii colaboratori ai revistei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tradiționaliste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Sămănătorul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înainte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de a deveni un scriitor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realist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și adept al curentului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poporanist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reprezentat de revista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literară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Viața Românească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Opera sa se poate grupa în câteva faze care corespund unor direcții sau curente literare dominante într-o anumită epocă: o primă etapă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sămănătoristă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cea de început, a primelor încercări, nuvele și povestiri, o a doua mitico-simbolică, din perioada interbelică (reflectată în romane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precum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Creanga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 de aur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sau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Divanul </w:t>
      </w:r>
      <w:proofErr w:type="spellStart"/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persian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). În această etapă, acțiunea operelor sale are loc în general în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regiunea istorică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Moldovei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cu teme preluate din istoria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medievală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și modernă timpurie a României, în romane precum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Neamul Șoimăreștilor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Frații Jderi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și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Zodia Cancerului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Prin intermediul operelor precum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Venea o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moară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 pe Siret...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Baltagul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și alte scrieri, Sadoveanu acoperă o mai mare perioadă de timp, ajungând până în istoria contemporană, în care abordează și alte stiluri precum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romanul psihologic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și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naturalismul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Ultima 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etapă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corespunde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realismului socialist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, în acord cu perioada socialist-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comunistă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la care Sadoveanu va adera ideologic.</w:t>
      </w:r>
    </w:p>
    <w:p w:rsidR="64D905BA" w:rsidP="64D905BA" w:rsidRDefault="64D905BA" w14:paraId="46315B03" w14:textId="68227AC7">
      <w:pPr>
        <w:spacing w:after="0" w:afterAutospacing="off" w:line="240" w:lineRule="auto"/>
        <w:ind w:firstLine="720"/>
        <w:jc w:val="left"/>
      </w:pP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 fost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președintele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Uniunii Scriitorilor din România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și, începând cu anul 1921, membru al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Academiei 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Române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A primit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Premiul Lenin pentru Pace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în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1961. În anul 1928 devine Mare Maestru al Marii Loji 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Naționale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din 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România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 fost cumnatul criticului literar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Izabela Sadoveanu-Evan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Copiii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săi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Profira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și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Paul-Mihu Sadoveanu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, au mers pe urmele tatălui și au devenit la rândul lor scriitori.</w:t>
      </w:r>
    </w:p>
    <w:p w:rsidR="64D905BA" w:rsidP="64D905BA" w:rsidRDefault="64D905BA" w14:noSpellErr="1" w14:paraId="0663611C" w14:textId="7A4A9910">
      <w:pPr>
        <w:pStyle w:val="Normal"/>
        <w:spacing w:after="0" w:afterAutospacing="off" w:line="240" w:lineRule="auto"/>
        <w:jc w:val="left"/>
      </w:pPr>
    </w:p>
    <w:p w:rsidR="64D905BA" w:rsidP="64D905BA" w:rsidRDefault="64D905BA" w14:paraId="39F791CA" w14:textId="59A5B731">
      <w:pPr>
        <w:pStyle w:val="Normal"/>
        <w:spacing w:after="0" w:afterAutospacing="off" w:line="240" w:lineRule="auto"/>
        <w:jc w:val="left"/>
      </w:pPr>
      <w:proofErr w:type="spellStart"/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Frații</w:t>
      </w:r>
      <w:proofErr w:type="spellEnd"/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 Jderi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, (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1935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-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1942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),</w:t>
      </w:r>
    </w:p>
    <w:p w:rsidR="64D905BA" w:rsidP="64D905BA" w:rsidRDefault="64D905BA" w14:paraId="201657FB" w14:textId="2256BCD4">
      <w:pPr>
        <w:pStyle w:val="ListParagraph"/>
        <w:numPr>
          <w:ilvl w:val="0"/>
          <w:numId w:val="1"/>
        </w:numPr>
        <w:spacing w:after="0" w:afterAutospacing="off"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Vol. I,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Ucenicia lui </w:t>
      </w:r>
      <w:proofErr w:type="spellStart"/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Ionuț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, (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1935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w:rsidR="64D905BA" w:rsidP="64D905BA" w:rsidRDefault="64D905BA" w14:noSpellErr="1" w14:paraId="1BFC3461" w14:textId="7DAEB0C9">
      <w:pPr>
        <w:pStyle w:val="ListParagraph"/>
        <w:numPr>
          <w:ilvl w:val="0"/>
          <w:numId w:val="1"/>
        </w:numPr>
        <w:spacing w:after="0" w:afterAutospacing="off"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Vol. II,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Izvorul Alb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, (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1936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w:rsidR="64D905BA" w:rsidP="64D905BA" w:rsidRDefault="64D905BA" w14:noSpellErr="1" w14:paraId="0A1F9D5E" w14:textId="5F3030BC">
      <w:pPr>
        <w:pStyle w:val="ListParagraph"/>
        <w:numPr>
          <w:ilvl w:val="0"/>
          <w:numId w:val="1"/>
        </w:numPr>
        <w:spacing w:after="0" w:afterAutospacing="off"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Vol. III,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Oamenii Măriei Sale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, (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1942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w:rsidR="64D905BA" w:rsidP="64D905BA" w:rsidRDefault="64D905BA" w14:paraId="17C6EE24" w14:textId="4AD8EF7B">
      <w:pPr>
        <w:pStyle w:val="Normal"/>
        <w:spacing w:after="0" w:afterAutospacing="off" w:line="240" w:lineRule="auto"/>
        <w:ind w:left="0"/>
        <w:jc w:val="left"/>
      </w:pP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Neamul Șoimăreștilor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roman</w:t>
      </w:r>
      <w:proofErr w:type="spellEnd"/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 (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1915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)</w:t>
      </w:r>
    </w:p>
    <w:p w:rsidR="64D905BA" w:rsidP="64D905BA" w:rsidRDefault="64D905BA" w14:paraId="4A1FA9A0" w14:textId="71441ADB">
      <w:pPr>
        <w:pStyle w:val="Normal"/>
        <w:spacing w:after="0" w:afterAutospacing="off" w:line="240" w:lineRule="auto"/>
        <w:ind w:left="0"/>
        <w:jc w:val="left"/>
      </w:pP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Hanu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-</w:t>
      </w:r>
      <w:proofErr w:type="spellStart"/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Ancuței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1928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w:rsidR="64D905BA" w:rsidP="64D905BA" w:rsidRDefault="64D905BA" w14:paraId="639D6C52" w14:textId="651E56F8">
      <w:pPr>
        <w:pStyle w:val="Normal"/>
        <w:spacing w:after="0" w:afterAutospacing="off" w:line="240" w:lineRule="auto"/>
        <w:ind w:left="0"/>
        <w:jc w:val="left"/>
      </w:pP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Baltagul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roman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1930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w:rsidR="64D905BA" w:rsidP="64D905BA" w:rsidRDefault="64D905BA" w14:noSpellErr="1" w14:paraId="6D1ABA34" w14:textId="73104C29">
      <w:pPr>
        <w:pStyle w:val="Normal"/>
        <w:spacing w:after="0" w:afterAutospacing="off" w:line="240" w:lineRule="auto"/>
        <w:ind w:left="0"/>
        <w:jc w:val="left"/>
      </w:pPr>
    </w:p>
    <w:p w:rsidR="64D905BA" w:rsidP="64D905BA" w:rsidRDefault="64D905BA" w14:paraId="2E36706B" w14:textId="292136AA">
      <w:pPr>
        <w:spacing w:after="0" w:afterAutospacing="off" w:line="240" w:lineRule="auto"/>
        <w:ind w:firstLine="720"/>
        <w:jc w:val="left"/>
      </w:pPr>
      <w:proofErr w:type="spellStart"/>
      <w:r w:rsidRPr="64D905BA" w:rsidR="64D905B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>Frații</w:t>
      </w:r>
      <w:proofErr w:type="spellEnd"/>
      <w:r w:rsidRPr="64D905BA" w:rsidR="64D905B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 Jderi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este un 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roman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istoric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scris de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Mihail Sadoveanu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Este, de fapt, o trilogie alcătuită din romanele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Ucenicia lui </w:t>
      </w:r>
      <w:proofErr w:type="spellStart"/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Ionuț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(1935),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Izvorul Alb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(1936) și </w:t>
      </w:r>
      <w:r w:rsidRPr="64D905BA" w:rsidR="64D905B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Oamenii Măriei-Sale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(1942), care evocă epoca domniei lui 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Ștefan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cel Mare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între anii 1469 și 1475.</w:t>
      </w:r>
    </w:p>
    <w:p w:rsidR="64D905BA" w:rsidP="64D905BA" w:rsidRDefault="64D905BA" w14:paraId="220BF3FD" w14:textId="59617541">
      <w:pPr>
        <w:spacing w:after="0" w:afterAutospacing="off" w:line="240" w:lineRule="auto"/>
        <w:jc w:val="left"/>
      </w:pP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Tehnica folosită este atât acea a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epopeii 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clasice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homerice</w:t>
      </w:r>
      <w:proofErr w:type="spellEnd"/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cât și acea a 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romanului de aventuri</w:t>
      </w:r>
      <w:r w:rsidRPr="64D905BA" w:rsidR="64D905BA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="64D905BA" w:rsidP="64D905BA" w:rsidRDefault="64D905BA" w14:noSpellErr="1" w14:paraId="7127877D" w14:textId="60BA6F22">
      <w:pPr>
        <w:pStyle w:val="Normal"/>
        <w:spacing w:after="0" w:afterAutospacing="off" w:line="240" w:lineRule="auto"/>
        <w:ind w:left="0"/>
        <w:jc w:val="left"/>
      </w:pPr>
    </w:p>
    <w:p w:rsidR="64D905BA" w:rsidP="64D905BA" w:rsidRDefault="64D905BA" w14:paraId="436A2EFE" w14:textId="7A07A723">
      <w:pPr>
        <w:pStyle w:val="Normal"/>
        <w:spacing w:after="0" w:afterAutospacing="off" w:line="240" w:lineRule="auto"/>
        <w:ind w:firstLine="720"/>
        <w:jc w:val="left"/>
      </w:pPr>
    </w:p>
    <w:sectPr w:rsidR="0063600C" w:rsidSect="0063600C"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64D9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51f1d00-9ecb-45ce-91ea-aa37e6b6f1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80afde9b0244d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2016-05-18T19:35:56.0454664Z</dcterms:modified>
  <lastModifiedBy>Bogdan Tatu</lastModifiedBy>
</coreProperties>
</file>