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C0FA967" w:rsidP="5C0FA967" w:rsidRDefault="5C0FA967" w14:noSpellErr="1" w14:paraId="2CECAA2D" w14:textId="54C7A0D8">
      <w:pPr>
        <w:jc w:val="center"/>
      </w:pPr>
      <w:r w:rsidRPr="4B963E68" w:rsidR="4B963E68">
        <w:rPr>
          <w:rFonts w:ascii="Calibri" w:hAnsi="Calibri" w:eastAsia="Calibri" w:cs="Calibri"/>
          <w:b w:val="1"/>
          <w:bCs w:val="1"/>
          <w:color w:val="252525"/>
          <w:sz w:val="36"/>
          <w:szCs w:val="36"/>
        </w:rPr>
        <w:t>Tudor Arghezi</w:t>
      </w:r>
    </w:p>
    <w:p w:rsidR="5C0FA967" w:rsidP="5C0FA967" w:rsidRDefault="5C0FA967" w14:paraId="4BF0A434" w14:textId="669C8F13">
      <w:pPr>
        <w:pStyle w:val="Normal"/>
        <w:spacing w:after="0" w:afterAutospacing="off"/>
      </w:pPr>
    </w:p>
    <w:p w:rsidR="5C0FA967" w:rsidP="5C0FA967" w:rsidRDefault="5C0FA967" w14:paraId="17B19C51" w14:textId="7B076A36">
      <w:pPr>
        <w:pStyle w:val="Normal"/>
        <w:spacing w:after="0" w:afterAutospacing="off"/>
      </w:pP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252525"/>
          <w:sz w:val="24"/>
          <w:szCs w:val="24"/>
        </w:rPr>
        <w:t xml:space="preserve">    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252525"/>
          <w:sz w:val="24"/>
          <w:szCs w:val="24"/>
        </w:rPr>
        <w:t xml:space="preserve"> 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Tudor Arghezi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 xml:space="preserve">sau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Ion Nae Theodorescu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a fost un scriitor român cunoscut pentru contribuția sa la dezvoltarea liricii românești.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A scris, între altele, teatru, proză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, pamflete, precum și literatură pentru copii.</w:t>
      </w:r>
    </w:p>
    <w:p w:rsidR="5C0FA967" w:rsidP="5C0FA967" w:rsidRDefault="5C0FA967" w14:noSpellErr="1" w14:paraId="5799349D" w14:textId="5A21BC75">
      <w:pPr>
        <w:pStyle w:val="Normal"/>
        <w:spacing w:after="0" w:afterAutospacing="off"/>
      </w:pP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     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S-a născut pe data de 21 mai 1880 la București,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numele său fiind Ion Nae Theodorescu și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este fiul lui Nae Theodorescu și al Mariei Theodorescu. A decedat pe data de 14 iulie 1967, la vârsta de 87 de ani în București.</w:t>
      </w:r>
    </w:p>
    <w:p w:rsidR="5C0FA967" w:rsidP="5C0FA967" w:rsidRDefault="5C0FA967" w14:noSpellErr="1" w14:paraId="05E83619" w14:textId="2B01C647">
      <w:pPr>
        <w:pStyle w:val="Normal"/>
        <w:spacing w:after="0" w:afterAutospacing="off"/>
      </w:pP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     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Anul 1896 este anul debutului său literar. La 30 iunie publică în ziarul „Liga Ortodoxă”, condus de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Alexandru Macedonski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, poezia „Tatăl meu”, iar î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ntre 1897 și 1899 publică versuri și poeme în proză la „Revista Modernă” și „Viața nouă” pe care le semnează pentru prima oară cu pseudonimul Ion Th. Arghezi.</w:t>
      </w:r>
    </w:p>
    <w:p w:rsidR="5C0FA967" w:rsidP="5C0FA967" w:rsidRDefault="5C0FA967" w14:noSpellErr="1" w14:paraId="65E8127C" w14:textId="002FAEBB">
      <w:pPr>
        <w:pStyle w:val="Normal"/>
        <w:spacing w:after="0" w:afterAutospacing="off"/>
      </w:pP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   </w:t>
      </w:r>
      <w:r w:rsidRPr="4B963E68" w:rsidR="4B963E68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În 1910,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a publicat lucrări în </w:t>
      </w:r>
      <w:r w:rsidRPr="4B963E68" w:rsidR="4B963E68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Viața Românească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, </w:t>
      </w:r>
      <w:r w:rsidRPr="4B963E68" w:rsidR="4B963E68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Teatru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, </w:t>
      </w:r>
      <w:r w:rsidRPr="4B963E68" w:rsidR="4B963E68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Rampa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, și în revistele lui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N. D. Cocea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</w:t>
      </w:r>
      <w:r w:rsidRPr="4B963E68" w:rsidR="4B963E68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Facla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și </w:t>
      </w:r>
      <w:r w:rsidRPr="4B963E68" w:rsidR="4B963E68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Viața Socială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, dar și în revista </w:t>
      </w:r>
      <w:r w:rsidRPr="4B963E68" w:rsidR="4B963E68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Cronica.</w:t>
      </w:r>
    </w:p>
    <w:p w:rsidR="5C0FA967" w:rsidP="5C0FA967" w:rsidRDefault="5C0FA967" w14:noSpellErr="1" w14:paraId="0BB09045" w14:textId="53A3B1A3">
      <w:pPr>
        <w:pStyle w:val="Normal"/>
        <w:spacing w:after="0" w:afterAutospacing="off"/>
      </w:pPr>
      <w:r w:rsidRPr="4B963E68" w:rsidR="4B963E68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 xml:space="preserve">     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După izbucnirea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primului război mondial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, Arghezi a scris articole împotriva taberei politice conduse de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partidul n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ațional liberal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și de grupul de susținători ai lui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Take Ionescu.</w:t>
      </w:r>
    </w:p>
    <w:p w:rsidR="5C0FA967" w:rsidP="5C0FA967" w:rsidRDefault="5C0FA967" w14:noSpellErr="1" w14:paraId="313076D8" w14:textId="22A4A68F">
      <w:pPr>
        <w:spacing w:after="0" w:afterAutospacing="off"/>
      </w:pP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In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1927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apare cu mare întârziere prima sa carte de poezii "Cuvinte potrivite", iar un an mai târziu tot sub direcția sa, apare ziarul "Bilete de papagal", iar î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n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1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929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publică prima sa carte de proza, "Icoane de lemn"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.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Tot acum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publică volumul în proza "Cartea cu jucării", inaugurând o direcție secundară în creația scriitorului, ce va continua, mai apoi, cu poemele știute de școlari: "Cântec de adormit Mitzura", "Buruieni", "Mărțișoare", "Prisaca", "Zdreanță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".</w:t>
      </w:r>
    </w:p>
    <w:p w:rsidR="5C0FA967" w:rsidP="5C0FA967" w:rsidRDefault="5C0FA967" w14:noSpellErr="1" w14:paraId="3296D821" w14:textId="0E0C207F">
      <w:pPr>
        <w:pStyle w:val="Normal"/>
        <w:spacing w:after="0" w:afterAutospacing="off"/>
      </w:pP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Câțiva ani mai târziu, acesta </w:t>
      </w:r>
      <w:r w:rsidRPr="4B963E68" w:rsidR="4B963E68">
        <w:rPr>
          <w:rFonts w:ascii="Cambria" w:hAnsi="Cambria" w:eastAsia="Cambria" w:cs="Cambria"/>
          <w:color w:val="252525"/>
          <w:sz w:val="24"/>
          <w:szCs w:val="24"/>
        </w:rPr>
        <w:t xml:space="preserve">publică îndeosebi pamflete usturătoare, pentru care e cercetat de poliție, iar pe data de 30 septembrie publică în ziarul său, </w:t>
      </w:r>
      <w:r w:rsidRPr="4B963E68" w:rsidR="4B963E68">
        <w:rPr>
          <w:rFonts w:ascii="Cambria" w:hAnsi="Cambria" w:eastAsia="Cambria" w:cs="Cambria"/>
          <w:sz w:val="24"/>
          <w:szCs w:val="24"/>
        </w:rPr>
        <w:t xml:space="preserve">"Bilete de papagal", pamfletul  </w:t>
      </w:r>
      <w:r w:rsidRPr="4B963E68" w:rsidR="4B963E68">
        <w:rPr>
          <w:rFonts w:ascii="Cambria" w:hAnsi="Cambria" w:eastAsia="Cambria" w:cs="Cambria"/>
          <w:color w:val="252525"/>
          <w:sz w:val="24"/>
          <w:szCs w:val="24"/>
        </w:rPr>
        <w:t xml:space="preserve">"Baroane", pentru care </w:t>
      </w:r>
      <w:r w:rsidRPr="4B963E68" w:rsidR="4B963E68">
        <w:rPr>
          <w:rFonts w:ascii="Cambria" w:hAnsi="Cambria" w:eastAsia="Cambria" w:cs="Cambria"/>
          <w:color w:val="252525"/>
          <w:sz w:val="24"/>
          <w:szCs w:val="24"/>
        </w:rPr>
        <w:t>scriitorul e închis la București și în lagărul de la Tg. Jiu, iar ziarul său este confiscat.</w:t>
      </w:r>
    </w:p>
    <w:p w:rsidR="5C0FA967" w:rsidP="5C0FA967" w:rsidRDefault="5C0FA967" w14:paraId="0706ED82" w14:textId="77369315">
      <w:pPr>
        <w:pStyle w:val="Normal"/>
        <w:spacing w:after="0" w:afterAutospacing="off"/>
      </w:pPr>
      <w:r w:rsidRPr="4B963E68" w:rsidR="4B963E68">
        <w:rPr>
          <w:rFonts w:ascii="Cambria" w:hAnsi="Cambria" w:eastAsia="Cambria" w:cs="Cambria"/>
          <w:color w:val="252525"/>
          <w:sz w:val="24"/>
          <w:szCs w:val="24"/>
        </w:rPr>
        <w:t xml:space="preserve">      </w:t>
      </w:r>
      <w:r w:rsidRPr="4B963E68" w:rsidR="4B963E68">
        <w:rPr>
          <w:rFonts w:ascii="Cambria" w:hAnsi="Cambria" w:eastAsia="Cambria" w:cs="Cambria"/>
          <w:color w:val="252525"/>
          <w:sz w:val="24"/>
          <w:szCs w:val="24"/>
        </w:rPr>
        <w:t>În p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erioada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1952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-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1967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poetul a fo</w:t>
      </w:r>
      <w:r w:rsidRPr="4B963E68" w:rsidR="4B963E68">
        <w:rPr>
          <w:rFonts w:ascii="Cambria" w:hAnsi="Cambria" w:eastAsia="Cambria" w:cs="Cambria"/>
          <w:color w:val="252525"/>
          <w:sz w:val="24"/>
          <w:szCs w:val="24"/>
        </w:rPr>
        <w:t>st „reabilitat” treptat, la sugestia lui Gheorghe Gheorghiu Dej. Tudor Arghezi este distins cu premii și titluri, ales membru al Academiei Române,</w:t>
      </w:r>
      <w:r w:rsidRPr="4B963E68" w:rsidR="4B963E68">
        <w:rPr>
          <w:rFonts w:ascii="Cambria" w:hAnsi="Cambria" w:eastAsia="Cambria" w:cs="Cambria"/>
          <w:color w:val="252525"/>
          <w:sz w:val="24"/>
          <w:szCs w:val="24"/>
        </w:rPr>
        <w:t>și</w:t>
      </w:r>
      <w:r w:rsidRPr="4B963E68" w:rsidR="4B963E68">
        <w:rPr>
          <w:rFonts w:ascii="Cambria" w:hAnsi="Cambria" w:eastAsia="Cambria" w:cs="Cambria"/>
          <w:color w:val="252525"/>
          <w:sz w:val="24"/>
          <w:szCs w:val="24"/>
        </w:rPr>
        <w:t xml:space="preserve"> sărbătorit </w:t>
      </w:r>
      <w:r w:rsidRPr="4B963E68" w:rsidR="4B963E68">
        <w:rPr>
          <w:rFonts w:ascii="Cambria" w:hAnsi="Cambria" w:eastAsia="Cambria" w:cs="Cambria"/>
          <w:color w:val="252525"/>
          <w:sz w:val="24"/>
          <w:szCs w:val="24"/>
        </w:rPr>
        <w:t>ca poet național la 80 și 85 de ani. S-a bucurat de mari avantaje în regimul comunist</w:t>
      </w:r>
      <w:r w:rsidRPr="4B963E68" w:rsidR="4B963E68">
        <w:rPr>
          <w:rFonts w:ascii="Cambria" w:hAnsi="Cambria" w:eastAsia="Cambria" w:cs="Cambria"/>
          <w:color w:val="252525"/>
          <w:sz w:val="24"/>
          <w:szCs w:val="24"/>
        </w:rPr>
        <w:t xml:space="preserve"> colaborând cu autoritățile și scriind poezii sociale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pe placul acestora.</w:t>
      </w:r>
    </w:p>
    <w:p w:rsidR="4B963E68" w:rsidP="4B963E68" w:rsidRDefault="4B963E68" w14:paraId="052D1404" w14:textId="353AF849">
      <w:pPr>
        <w:pStyle w:val="Normal"/>
        <w:spacing w:after="0" w:afterAutospacing="off"/>
      </w:pP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Pentru activitatea sa remarcabilă în literatură primește prima oară în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1936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, la egalitate cu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George Bacovia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și a doua oară în anul 1946, Premiul Național de Poezie,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iar în anul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1965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primește 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Premiul Internațional </w:t>
      </w:r>
      <w:r w:rsidRPr="4B963E68" w:rsidR="4B963E68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Johann Gottfried von Herder</w:t>
      </w:r>
      <w:r w:rsidRPr="4B963E68" w:rsidR="4B963E6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.</w:t>
      </w:r>
    </w:p>
    <w:p w:rsidR="5C0FA967" w:rsidP="5C0FA967" w:rsidRDefault="5C0FA967" w14:noSpellErr="1" w14:paraId="7A2C3FB8" w14:textId="1B4539E0">
      <w:pPr>
        <w:pStyle w:val="Normal"/>
        <w:spacing w:after="0" w:afterAutospacing="off"/>
      </w:pPr>
    </w:p>
    <w:p w:rsidR="5C0FA967" w:rsidP="5C0FA967" w:rsidRDefault="5C0FA967" w14:noSpellErr="1" w14:paraId="3BFC53FB" w14:textId="4C3A46A8">
      <w:pPr>
        <w:pStyle w:val="Normal"/>
        <w:spacing w:after="0" w:afterAutospacing="off"/>
      </w:pPr>
    </w:p>
    <w:p w:rsidR="5C0FA967" w:rsidP="5C0FA967" w:rsidRDefault="5C0FA967" w14:noSpellErr="1" w14:paraId="2A81D10B" w14:textId="471B01C2">
      <w:pPr>
        <w:pStyle w:val="Normal"/>
        <w:spacing w:after="0" w:afterAutospacing="off"/>
      </w:pPr>
    </w:p>
    <w:p w:rsidR="5C0FA967" w:rsidP="5C0FA967" w:rsidRDefault="5C0FA967" w14:noSpellErr="1" w14:paraId="0311D8BF" w14:textId="2B89B51A">
      <w:pPr>
        <w:pStyle w:val="Normal"/>
        <w:spacing w:after="0" w:afterAutospacing="off"/>
      </w:pPr>
    </w:p>
    <w:p w:rsidR="5C0FA967" w:rsidP="5C0FA967" w:rsidRDefault="5C0FA967" w14:noSpellErr="1" w14:paraId="4A914D06" w14:textId="30AB6DBD">
      <w:pPr>
        <w:pStyle w:val="Normal"/>
        <w:spacing w:after="0" w:afterAutospacing="off"/>
      </w:pPr>
    </w:p>
    <w:p w:rsidR="5C0FA967" w:rsidP="5C0FA967" w:rsidRDefault="5C0FA967" w14:noSpellErr="1" w14:paraId="508BF9D7" w14:textId="5FC020CF">
      <w:pPr>
        <w:pStyle w:val="Normal"/>
        <w:spacing w:after="0" w:afterAutospacing="off"/>
      </w:pPr>
    </w:p>
    <w:p w:rsidR="5C0FA967" w:rsidP="5C0FA967" w:rsidRDefault="5C0FA967" w14:noSpellErr="1" w14:paraId="1E2A68E1" w14:textId="0810DE1C">
      <w:pPr>
        <w:pStyle w:val="Normal"/>
        <w:spacing w:after="0" w:afterAutospacing="off"/>
      </w:pPr>
    </w:p>
    <w:p w:rsidR="5C0FA967" w:rsidP="5C0FA967" w:rsidRDefault="5C0FA967" w14:noSpellErr="1" w14:paraId="7FC6644A" w14:textId="250ACDBE">
      <w:pPr>
        <w:pStyle w:val="Normal"/>
        <w:spacing w:after="0" w:afterAutospacing="off"/>
      </w:pPr>
    </w:p>
    <w:p w:rsidR="5C0FA967" w:rsidP="5C0FA967" w:rsidRDefault="5C0FA967" w14:noSpellErr="1" w14:paraId="17CDC317" w14:textId="7D3AB19D">
      <w:pPr>
        <w:pStyle w:val="Normal"/>
        <w:spacing w:after="0" w:afterAutospacing="off"/>
      </w:pPr>
    </w:p>
    <w:p w:rsidR="5C0FA967" w:rsidP="5C0FA967" w:rsidRDefault="5C0FA967" w14:noSpellErr="1" w14:paraId="1C77D9E9" w14:textId="6B7E27C9">
      <w:pPr>
        <w:pStyle w:val="Normal"/>
        <w:spacing w:after="0" w:afterAutospacing="off"/>
      </w:pPr>
    </w:p>
    <w:p w:rsidR="5C0FA967" w:rsidP="5C0FA967" w:rsidRDefault="5C0FA967" w14:noSpellErr="1" w14:paraId="117ABC98" w14:textId="095D1459">
      <w:pPr>
        <w:pStyle w:val="Normal"/>
        <w:spacing w:after="0" w:afterAutospacing="off"/>
      </w:pPr>
    </w:p>
    <w:p w:rsidR="5C0FA967" w:rsidP="5C0FA967" w:rsidRDefault="5C0FA967" w14:noSpellErr="1" w14:paraId="725AFEED" w14:textId="793DB49C">
      <w:pPr>
        <w:pStyle w:val="Normal"/>
        <w:spacing w:after="0" w:afterAutospacing="off"/>
      </w:pPr>
    </w:p>
    <w:p w:rsidR="5C0FA967" w:rsidP="5C0FA967" w:rsidRDefault="5C0FA967" w14:noSpellErr="1" w14:paraId="65EE1F37" w14:textId="73359F7E">
      <w:pPr>
        <w:pStyle w:val="Normal"/>
        <w:spacing w:after="0" w:afterAutospacing="off"/>
      </w:pPr>
    </w:p>
    <w:p w:rsidR="5C0FA967" w:rsidP="5C0FA967" w:rsidRDefault="5C0FA967" w14:noSpellErr="1" w14:paraId="26B715BE" w14:textId="32D9894C">
      <w:pPr>
        <w:pStyle w:val="Normal"/>
        <w:spacing w:after="0" w:afterAutospacing="off"/>
      </w:pPr>
    </w:p>
    <w:p w:rsidR="5C0FA967" w:rsidP="5C0FA967" w:rsidRDefault="5C0FA967" w14:noSpellErr="1" w14:paraId="08C9CA4F" w14:textId="68B1A3C5">
      <w:pPr>
        <w:pStyle w:val="Normal"/>
        <w:spacing w:after="0" w:afterAutospacing="off"/>
      </w:pPr>
    </w:p>
    <w:p w:rsidR="5C0FA967" w:rsidP="5C0FA967" w:rsidRDefault="5C0FA967" w14:noSpellErr="1" w14:paraId="47D3EC55" w14:textId="4D119BA3">
      <w:pPr>
        <w:pStyle w:val="Normal"/>
        <w:spacing w:after="0" w:afterAutospacing="off"/>
      </w:pPr>
    </w:p>
    <w:p w:rsidR="5C0FA967" w:rsidP="5C0FA967" w:rsidRDefault="5C0FA967" w14:noSpellErr="1" w14:paraId="3D8DE17C" w14:textId="2E925EFD">
      <w:pPr>
        <w:pStyle w:val="Normal"/>
        <w:spacing w:after="0" w:afterAutospacing="off"/>
      </w:pPr>
    </w:p>
    <w:p w:rsidR="5C0FA967" w:rsidP="5C0FA967" w:rsidRDefault="5C0FA967" w14:noSpellErr="1" w14:paraId="4B958935" w14:textId="7BC11ABE">
      <w:pPr>
        <w:pStyle w:val="Normal"/>
        <w:spacing w:after="0" w:afterAutospacing="off"/>
      </w:pPr>
    </w:p>
    <w:p w:rsidR="5C0FA967" w:rsidP="5C0FA967" w:rsidRDefault="5C0FA967" w14:noSpellErr="1" w14:paraId="42462621" w14:textId="2583A9A0">
      <w:pPr>
        <w:pStyle w:val="Normal"/>
        <w:spacing w:after="0" w:afterAutospacing="off"/>
      </w:pPr>
    </w:p>
    <w:p w:rsidR="5C0FA967" w:rsidP="5C0FA967" w:rsidRDefault="5C0FA967" w14:noSpellErr="1" w14:paraId="1B5D6510" w14:textId="3012C56C">
      <w:pPr>
        <w:pStyle w:val="Normal"/>
        <w:spacing w:after="0" w:afterAutospacing="off"/>
      </w:pPr>
    </w:p>
    <w:p w:rsidR="5C0FA967" w:rsidP="5C0FA967" w:rsidRDefault="5C0FA967" w14:noSpellErr="1" w14:paraId="5BEA3496" w14:textId="1B2990D0">
      <w:pPr>
        <w:pStyle w:val="Normal"/>
        <w:spacing w:after="0" w:afterAutospacing="off"/>
      </w:pPr>
    </w:p>
    <w:p w:rsidR="5C0FA967" w:rsidP="5C0FA967" w:rsidRDefault="5C0FA967" w14:noSpellErr="1" w14:paraId="27AC1150" w14:textId="16D0C017">
      <w:pPr>
        <w:pStyle w:val="Normal"/>
        <w:spacing w:after="0" w:afterAutospacing="off"/>
      </w:pPr>
    </w:p>
    <w:p w:rsidR="5C0FA967" w:rsidP="5C0FA967" w:rsidRDefault="5C0FA967" w14:noSpellErr="1" w14:paraId="208B18F0" w14:textId="0F435567">
      <w:pPr>
        <w:pStyle w:val="Normal"/>
        <w:spacing w:after="0" w:afterAutospacing="off"/>
      </w:pPr>
    </w:p>
    <w:p w:rsidR="5C0FA967" w:rsidP="5C0FA967" w:rsidRDefault="5C0FA967" w14:noSpellErr="1" w14:paraId="0EDE44E2" w14:textId="320E82C6">
      <w:pPr>
        <w:pStyle w:val="Normal"/>
        <w:spacing w:after="0" w:afterAutospacing="off"/>
      </w:pPr>
    </w:p>
    <w:p w:rsidR="5C0FA967" w:rsidP="5C0FA967" w:rsidRDefault="5C0FA967" w14:noSpellErr="1" w14:paraId="36C7E0F1" w14:textId="21521564">
      <w:pPr>
        <w:pStyle w:val="Normal"/>
        <w:spacing w:after="0" w:afterAutospacing="off"/>
      </w:pPr>
    </w:p>
    <w:p w:rsidR="5C0FA967" w:rsidP="5C0FA967" w:rsidRDefault="5C0FA967" w14:noSpellErr="1" w14:paraId="110A35EC" w14:textId="14CCA3BB">
      <w:pPr>
        <w:pStyle w:val="Normal"/>
        <w:spacing w:after="0" w:afterAutospacing="off"/>
      </w:pPr>
    </w:p>
    <w:p w:rsidR="5C0FA967" w:rsidP="5C0FA967" w:rsidRDefault="5C0FA967" w14:noSpellErr="1" w14:paraId="3333CF55" w14:textId="18DC5B3A">
      <w:pPr>
        <w:pStyle w:val="Normal"/>
        <w:spacing w:after="0" w:afterAutospacing="off"/>
      </w:pPr>
    </w:p>
    <w:p w:rsidR="5C0FA967" w:rsidP="5C0FA967" w:rsidRDefault="5C0FA967" w14:noSpellErr="1" w14:paraId="440ADBA8" w14:textId="1CBDD563">
      <w:pPr>
        <w:pStyle w:val="Normal"/>
        <w:spacing w:after="0" w:afterAutospacing="off"/>
      </w:pPr>
    </w:p>
    <w:p w:rsidR="5C0FA967" w:rsidP="5C0FA967" w:rsidRDefault="5C0FA967" w14:noSpellErr="1" w14:paraId="4D78794D" w14:textId="36578B19">
      <w:pPr>
        <w:pStyle w:val="Normal"/>
        <w:spacing w:after="0" w:afterAutospacing="off"/>
      </w:pPr>
    </w:p>
    <w:p w:rsidR="5C0FA967" w:rsidP="5C0FA967" w:rsidRDefault="5C0FA967" w14:noSpellErr="1" w14:paraId="404D7D96" w14:textId="51916A0C">
      <w:pPr>
        <w:pStyle w:val="Normal"/>
        <w:spacing w:after="0" w:afterAutospacing="off"/>
      </w:pPr>
    </w:p>
    <w:p w:rsidR="5C0FA967" w:rsidP="5C0FA967" w:rsidRDefault="5C0FA967" w14:noSpellErr="1" w14:paraId="32C761FF" w14:textId="5A00F0B3">
      <w:pPr>
        <w:pStyle w:val="Normal"/>
        <w:spacing w:after="0" w:afterAutospacing="off"/>
      </w:pPr>
    </w:p>
    <w:p w:rsidR="5C0FA967" w:rsidP="5C0FA967" w:rsidRDefault="5C0FA967" w14:noSpellErr="1" w14:paraId="03D49F96" w14:textId="42A4A55F">
      <w:pPr>
        <w:pStyle w:val="Normal"/>
        <w:spacing w:after="0" w:afterAutospacing="off"/>
      </w:pPr>
    </w:p>
    <w:p w:rsidR="5C0FA967" w:rsidP="5C0FA967" w:rsidRDefault="5C0FA967" w14:noSpellErr="1" w14:paraId="34023152" w14:textId="7051BD55">
      <w:pPr>
        <w:pStyle w:val="Normal"/>
        <w:spacing w:after="0" w:afterAutospacing="off"/>
      </w:pPr>
    </w:p>
    <w:p w:rsidR="5C0FA967" w:rsidP="5C0FA967" w:rsidRDefault="5C0FA967" w14:noSpellErr="1" w14:paraId="1104F932" w14:textId="29F61CF7">
      <w:pPr>
        <w:pStyle w:val="Normal"/>
        <w:spacing w:after="0" w:afterAutospacing="off"/>
      </w:pPr>
    </w:p>
    <w:p w:rsidR="5C0FA967" w:rsidP="5C0FA967" w:rsidRDefault="5C0FA967" w14:noSpellErr="1" w14:paraId="3DE44135" w14:textId="05F97186">
      <w:pPr>
        <w:pStyle w:val="Normal"/>
        <w:spacing w:after="0" w:afterAutospacing="off"/>
      </w:pPr>
    </w:p>
    <w:p w:rsidR="5C0FA967" w:rsidP="5C0FA967" w:rsidRDefault="5C0FA967" w14:noSpellErr="1" w14:paraId="3B273D6D" w14:textId="37E4AC7A">
      <w:pPr>
        <w:pStyle w:val="Normal"/>
        <w:spacing w:after="0" w:afterAutospacing="off"/>
      </w:pPr>
    </w:p>
    <w:p w:rsidR="5C0FA967" w:rsidP="5C0FA967" w:rsidRDefault="5C0FA967" w14:noSpellErr="1" w14:paraId="6A962174" w14:textId="64D6950D">
      <w:pPr>
        <w:pStyle w:val="Normal"/>
        <w:spacing w:after="0" w:afterAutospacing="off"/>
      </w:pPr>
    </w:p>
    <w:p w:rsidR="5C0FA967" w:rsidP="5C0FA967" w:rsidRDefault="5C0FA967" w14:noSpellErr="1" w14:paraId="260B5D63" w14:textId="64123C95">
      <w:pPr>
        <w:pStyle w:val="Normal"/>
        <w:spacing w:after="0" w:afterAutospacing="off"/>
      </w:pPr>
    </w:p>
    <w:p w:rsidR="5C0FA967" w:rsidP="5C0FA967" w:rsidRDefault="5C0FA967" w14:noSpellErr="1" w14:paraId="5BD7288B" w14:textId="47296FDD">
      <w:pPr>
        <w:pStyle w:val="Normal"/>
        <w:spacing w:after="0" w:afterAutospacing="off"/>
      </w:pPr>
    </w:p>
    <w:p w:rsidR="5C0FA967" w:rsidP="5C0FA967" w:rsidRDefault="5C0FA967" w14:noSpellErr="1" w14:paraId="60185AE2" w14:textId="6D48DB85">
      <w:pPr>
        <w:pStyle w:val="Normal"/>
        <w:spacing w:after="0" w:afterAutospacing="off"/>
      </w:pPr>
    </w:p>
    <w:p w:rsidR="5C0FA967" w:rsidP="5C0FA967" w:rsidRDefault="5C0FA967" w14:noSpellErr="1" w14:paraId="16CC7CFC" w14:textId="3348C2CC">
      <w:pPr>
        <w:pStyle w:val="Normal"/>
      </w:pPr>
    </w:p>
    <w:sectPr w:rsidR="0063600C" w:rsidSect="0063600C">
      <w:pgSz w:w="11907" w:h="16839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4B963E68"/>
    <w:rsid w:val="5C0FA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ed43bc21-ceaf-4256-8fc2-08ef6631a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2015-09-21T18:26:05.2696089Z</dcterms:modified>
  <lastModifiedBy>bogdantatu10@gmail.com</lastModifiedBy>
</coreProperties>
</file>