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blBorders>
          <w:top w:val="nil"/>
          <w:left w:val="nil"/>
          <w:bottom w:val="nil"/>
          <w:right w:val="nil"/>
          <w:insideH w:val="nil"/>
          <w:insideV w:val="nil"/>
        </w:tblBorders>
      </w:tblPr>
      <w:tblGrid>
        <w:gridCol w:w="662"/>
        <w:gridCol w:w="8698"/>
      </w:tblGrid>
      <w:tr>
        <w:trPr>
          <w:trHeight w:val="12384" w:hRule="exact"/>
        </w:trPr>
        <w:tc>
          <w:tcPr>
            <w:tcW w:type="dxa" w:w="4680"/>
            <w:shd w:fill="17365D"/>
            <w:tcMar>
              <w:top w:w="0" w:type="dxa"/>
              <w:start w:w="0" w:type="dxa"/>
              <w:bottom w:w="0" w:type="dxa"/>
              <w:end w:w="0" w:type="dxa"/>
            </w:tcMar>
            <w:vAlign w:val="center"/>
          </w:tcPr>
          <w:p/>
        </w:tc>
        <w:tc>
          <w:tcPr>
            <w:tcW w:type="dxa" w:w="4680"/>
            <w:tcMar>
              <w:top w:w="780" w:type="dxa"/>
              <w:start w:w="430" w:type="dxa"/>
              <w:bottom w:w="300" w:type="dxa"/>
              <w:end w:w="260" w:type="dxa"/>
            </w:tcMar>
            <w:vAlign w:val="top"/>
          </w:tcPr>
          <w:p>
            <w:pPr>
              <w:spacing w:after="200"/>
            </w:pPr>
            <w:r>
              <w:rPr>
                <w:rFonts w:ascii="Calibri" w:hAnsi="Calibri" w:eastAsia="Microsoft YaHei"/>
                <w:b/>
                <w:color w:val="3B82A0"/>
                <w:sz w:val="24"/>
              </w:rPr>
              <w:t>商业化规划</w:t>
            </w:r>
          </w:p>
          <w:p>
            <w:pPr>
              <w:pStyle w:val="Title"/>
              <w:jc w:val="left"/>
            </w:pPr>
            <w:r>
              <w:rPr>
                <w:rFonts w:ascii="Calibri" w:hAnsi="Calibri" w:eastAsia="Microsoft YaHei"/>
                <w:b/>
                <w:color w:val="17365D"/>
                <w:sz w:val="60"/>
              </w:rPr>
              <w:t>Hermes 法律 AI</w:t>
            </w:r>
          </w:p>
          <w:p>
            <w:pPr>
              <w:pStyle w:val="Title"/>
              <w:jc w:val="left"/>
            </w:pPr>
            <w:r>
              <w:rPr>
                <w:rFonts w:ascii="Calibri" w:hAnsi="Calibri" w:eastAsia="Microsoft YaHei"/>
                <w:b/>
                <w:color w:val="17365D"/>
                <w:sz w:val="60"/>
              </w:rPr>
              <w:t>商业化规划</w:t>
            </w:r>
          </w:p>
          <w:p>
            <w:pPr>
              <w:spacing w:after="520"/>
            </w:pPr>
            <w:r>
              <w:rPr>
                <w:rFonts w:ascii="Calibri" w:hAnsi="Calibri" w:eastAsia="Microsoft YaHei"/>
                <w:b/>
                <w:color w:val="667085"/>
                <w:sz w:val="30"/>
              </w:rPr>
              <w:t>从通用个人智能体到“可验证的案件工程与法律协作平台”</w:t>
            </w:r>
          </w:p>
          <w:p>
            <w:pPr>
              <w:spacing w:before="240" w:after="160"/>
            </w:pPr>
            <w:r>
              <w:rPr>
                <w:rFonts w:ascii="Calibri" w:hAnsi="Calibri" w:eastAsia="Microsoft YaHei"/>
                <w:b/>
                <w:color w:val="3B82A0"/>
                <w:sz w:val="20"/>
              </w:rPr>
              <w:t>核心建议</w:t>
            </w:r>
          </w:p>
          <w:p>
            <w:pPr>
              <w:spacing w:after="360"/>
              <w:ind w:left="173" w:right="173"/>
              <w:shd w:fill="EEF5FA"/>
            </w:pPr>
            <w:r>
              <w:rPr>
                <w:rFonts w:ascii="Calibri" w:hAnsi="Calibri" w:eastAsia="Microsoft YaHei"/>
                <w:b/>
                <w:color w:val="17365D"/>
                <w:sz w:val="26"/>
              </w:rPr>
              <w:t>有条件立项：先做持证律师监督下的商业合同争议案件工作台，不从面向公众的“数字律师事务所”起步。</w:t>
            </w:r>
          </w:p>
          <w:p>
            <w:pPr>
              <w:spacing w:after="80"/>
            </w:pPr>
            <w:r>
              <w:rPr>
                <w:rFonts w:ascii="Calibri" w:hAnsi="Calibri" w:eastAsia="Microsoft YaHei"/>
                <w:b/>
                <w:color w:val="1F4E79"/>
                <w:sz w:val="19"/>
              </w:rPr>
              <w:t xml:space="preserve">版本  </w:t>
            </w:r>
            <w:r>
              <w:rPr>
                <w:rFonts w:ascii="Calibri" w:hAnsi="Calibri" w:eastAsia="Microsoft YaHei"/>
                <w:color w:val="667085"/>
                <w:sz w:val="19"/>
              </w:rPr>
              <w:t>V1.0（战略与产品立项版）</w:t>
            </w:r>
          </w:p>
          <w:p>
            <w:pPr>
              <w:spacing w:after="80"/>
            </w:pPr>
            <w:r>
              <w:rPr>
                <w:rFonts w:ascii="Calibri" w:hAnsi="Calibri" w:eastAsia="Microsoft YaHei"/>
                <w:b/>
                <w:color w:val="1F4E79"/>
                <w:sz w:val="19"/>
              </w:rPr>
              <w:t xml:space="preserve">基准日期  </w:t>
            </w:r>
            <w:r>
              <w:rPr>
                <w:rFonts w:ascii="Calibri" w:hAnsi="Calibri" w:eastAsia="Microsoft YaHei"/>
                <w:color w:val="667085"/>
                <w:sz w:val="19"/>
              </w:rPr>
              <w:t>2026 年 8 月 4 日</w:t>
            </w:r>
          </w:p>
          <w:p>
            <w:pPr>
              <w:spacing w:after="80"/>
            </w:pPr>
            <w:r>
              <w:rPr>
                <w:rFonts w:ascii="Calibri" w:hAnsi="Calibri" w:eastAsia="Microsoft YaHei"/>
                <w:b/>
                <w:color w:val="1F4E79"/>
                <w:sz w:val="19"/>
              </w:rPr>
              <w:t xml:space="preserve">规划周期  </w:t>
            </w:r>
            <w:r>
              <w:rPr>
                <w:rFonts w:ascii="Calibri" w:hAnsi="Calibri" w:eastAsia="Microsoft YaHei"/>
                <w:color w:val="667085"/>
                <w:sz w:val="19"/>
              </w:rPr>
              <w:t>0—18 个月产品建设｜3 年商业模型</w:t>
            </w:r>
          </w:p>
          <w:p>
            <w:pPr>
              <w:spacing w:after="80"/>
            </w:pPr>
            <w:r>
              <w:rPr>
                <w:rFonts w:ascii="Calibri" w:hAnsi="Calibri" w:eastAsia="Microsoft YaHei"/>
                <w:b/>
                <w:color w:val="1F4E79"/>
                <w:sz w:val="19"/>
              </w:rPr>
              <w:t xml:space="preserve">适用市场  </w:t>
            </w:r>
            <w:r>
              <w:rPr>
                <w:rFonts w:ascii="Calibri" w:hAnsi="Calibri" w:eastAsia="Microsoft YaHei"/>
                <w:color w:val="667085"/>
                <w:sz w:val="19"/>
              </w:rPr>
              <w:t>中国大陆｜律师事务所与企业法务优先</w:t>
            </w:r>
          </w:p>
          <w:p>
            <w:pPr>
              <w:spacing w:after="80"/>
            </w:pPr>
            <w:r>
              <w:rPr>
                <w:rFonts w:ascii="Calibri" w:hAnsi="Calibri" w:eastAsia="Microsoft YaHei"/>
                <w:b/>
                <w:color w:val="1F4E79"/>
                <w:sz w:val="19"/>
              </w:rPr>
              <w:t xml:space="preserve">文档属性  </w:t>
            </w:r>
            <w:r>
              <w:rPr>
                <w:rFonts w:ascii="Calibri" w:hAnsi="Calibri" w:eastAsia="Microsoft YaHei"/>
                <w:color w:val="667085"/>
                <w:sz w:val="19"/>
              </w:rPr>
              <w:t>内部规划材料｜不构成具体法律意见</w:t>
            </w:r>
          </w:p>
        </w:tc>
      </w:tr>
    </w:tbl>
    <w:p>
      <w:r>
        <w:br w:type="page"/>
      </w:r>
    </w:p>
    <w:p>
      <w:pPr>
        <w:pStyle w:val="Title"/>
        <w:jc w:val="left"/>
      </w:pPr>
      <w:r>
        <w:rPr>
          <w:rFonts w:ascii="Calibri" w:hAnsi="Calibri" w:eastAsia="Microsoft YaHei"/>
          <w:b/>
          <w:color w:val="17365D"/>
          <w:sz w:val="48"/>
        </w:rPr>
        <w:t>目录</w:t>
      </w:r>
    </w:p>
    <w:p>
      <w:pPr>
        <w:spacing w:after="320"/>
      </w:pPr>
      <w:r>
        <w:rPr>
          <w:rFonts w:ascii="Calibri" w:hAnsi="Calibri" w:eastAsia="Microsoft YaHei"/>
          <w:b w:val="0"/>
          <w:color w:val="667085"/>
          <w:sz w:val="19"/>
        </w:rPr>
        <w:t>本目录列出一级章节；Word 导航窗格可查看完整标题层级。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08"/>
        <w:gridCol w:w="4608"/>
      </w:tblGrid>
      <w:tr>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01  </w:t>
            </w:r>
            <w:r>
              <w:rPr>
                <w:rFonts w:ascii="Calibri" w:hAnsi="Calibri" w:eastAsia="Microsoft YaHei"/>
                <w:b/>
                <w:color w:val="1F2937"/>
                <w:sz w:val="18"/>
              </w:rPr>
              <w:t>一、执行摘要</w:t>
            </w:r>
          </w:p>
        </w:tc>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13  </w:t>
            </w:r>
            <w:r>
              <w:rPr>
                <w:rFonts w:ascii="Calibri" w:hAnsi="Calibri" w:eastAsia="Microsoft YaHei"/>
                <w:b/>
                <w:color w:val="1F2937"/>
                <w:sz w:val="18"/>
              </w:rPr>
              <w:t>十三、指标体系与经营仪表盘</w:t>
            </w:r>
          </w:p>
        </w:tc>
      </w:tr>
      <w:tr>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02  </w:t>
            </w:r>
            <w:r>
              <w:rPr>
                <w:rFonts w:ascii="Calibri" w:hAnsi="Calibri" w:eastAsia="Microsoft YaHei"/>
                <w:b/>
                <w:color w:val="1F2937"/>
                <w:sz w:val="18"/>
              </w:rPr>
              <w:t>二、项目基线：Hermes 复用与重构</w:t>
            </w:r>
          </w:p>
        </w:tc>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14  </w:t>
            </w:r>
            <w:r>
              <w:rPr>
                <w:rFonts w:ascii="Calibri" w:hAnsi="Calibri" w:eastAsia="Microsoft YaHei"/>
                <w:b/>
                <w:color w:val="1F2937"/>
                <w:sz w:val="18"/>
              </w:rPr>
              <w:t>十四、主要风险、反方观点与应对</w:t>
            </w:r>
          </w:p>
        </w:tc>
      </w:tr>
      <w:tr>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03  </w:t>
            </w:r>
            <w:r>
              <w:rPr>
                <w:rFonts w:ascii="Calibri" w:hAnsi="Calibri" w:eastAsia="Microsoft YaHei"/>
                <w:b/>
                <w:color w:val="1F2937"/>
                <w:sz w:val="18"/>
              </w:rPr>
              <w:t>三、市场与客户：从谁的哪一项工作切入</w:t>
            </w:r>
          </w:p>
        </w:tc>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15  </w:t>
            </w:r>
            <w:r>
              <w:rPr>
                <w:rFonts w:ascii="Calibri" w:hAnsi="Calibri" w:eastAsia="Microsoft YaHei"/>
                <w:b/>
                <w:color w:val="1F2937"/>
                <w:sz w:val="18"/>
              </w:rPr>
              <w:t>十五、Build / Buy / Partner 决策</w:t>
            </w:r>
          </w:p>
        </w:tc>
      </w:tr>
      <w:tr>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04  </w:t>
            </w:r>
            <w:r>
              <w:rPr>
                <w:rFonts w:ascii="Calibri" w:hAnsi="Calibri" w:eastAsia="Microsoft YaHei"/>
                <w:b/>
                <w:color w:val="1F2937"/>
                <w:sz w:val="18"/>
              </w:rPr>
              <w:t>四、产品定义与范围</w:t>
            </w:r>
          </w:p>
        </w:tc>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16  </w:t>
            </w:r>
            <w:r>
              <w:rPr>
                <w:rFonts w:ascii="Calibri" w:hAnsi="Calibri" w:eastAsia="Microsoft YaHei"/>
                <w:b/>
                <w:color w:val="1F2937"/>
                <w:sz w:val="18"/>
              </w:rPr>
              <w:t>十六、开放问题与决策清单</w:t>
            </w:r>
          </w:p>
        </w:tc>
      </w:tr>
      <w:tr>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05  </w:t>
            </w:r>
            <w:r>
              <w:rPr>
                <w:rFonts w:ascii="Calibri" w:hAnsi="Calibri" w:eastAsia="Microsoft YaHei"/>
                <w:b/>
                <w:color w:val="1F2937"/>
                <w:sz w:val="18"/>
              </w:rPr>
              <w:t>五、案件工作流与多智能体设计</w:t>
            </w:r>
          </w:p>
        </w:tc>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17  </w:t>
            </w:r>
            <w:r>
              <w:rPr>
                <w:rFonts w:ascii="Calibri" w:hAnsi="Calibri" w:eastAsia="Microsoft YaHei"/>
                <w:b/>
                <w:color w:val="1F2937"/>
                <w:sz w:val="18"/>
              </w:rPr>
              <w:t>十七、最终建议</w:t>
            </w:r>
          </w:p>
        </w:tc>
      </w:tr>
      <w:tr>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06  </w:t>
            </w:r>
            <w:r>
              <w:rPr>
                <w:rFonts w:ascii="Calibri" w:hAnsi="Calibri" w:eastAsia="Microsoft YaHei"/>
                <w:b/>
                <w:color w:val="1F2937"/>
                <w:sz w:val="18"/>
              </w:rPr>
              <w:t>六、目标技术架构</w:t>
            </w:r>
          </w:p>
        </w:tc>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18  </w:t>
            </w:r>
            <w:r>
              <w:rPr>
                <w:rFonts w:ascii="Calibri" w:hAnsi="Calibri" w:eastAsia="Microsoft YaHei"/>
                <w:b/>
                <w:color w:val="1F2937"/>
                <w:sz w:val="18"/>
              </w:rPr>
              <w:t>附录 A：客户访谈提纲</w:t>
            </w:r>
          </w:p>
        </w:tc>
      </w:tr>
      <w:tr>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07  </w:t>
            </w:r>
            <w:r>
              <w:rPr>
                <w:rFonts w:ascii="Calibri" w:hAnsi="Calibri" w:eastAsia="Microsoft YaHei"/>
                <w:b/>
                <w:color w:val="1F2937"/>
                <w:sz w:val="18"/>
              </w:rPr>
              <w:t>七、中国大陆合规与职业责任设计</w:t>
            </w:r>
          </w:p>
        </w:tc>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19  </w:t>
            </w:r>
            <w:r>
              <w:rPr>
                <w:rFonts w:ascii="Calibri" w:hAnsi="Calibri" w:eastAsia="Microsoft YaHei"/>
                <w:b/>
                <w:color w:val="1F2937"/>
                <w:sz w:val="18"/>
              </w:rPr>
              <w:t>附录 B：试点评分卡</w:t>
            </w:r>
          </w:p>
        </w:tc>
      </w:tr>
      <w:tr>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08  </w:t>
            </w:r>
            <w:r>
              <w:rPr>
                <w:rFonts w:ascii="Calibri" w:hAnsi="Calibri" w:eastAsia="Microsoft YaHei"/>
                <w:b/>
                <w:color w:val="1F2937"/>
                <w:sz w:val="18"/>
              </w:rPr>
              <w:t>八、质量、评测与人机责任</w:t>
            </w:r>
          </w:p>
        </w:tc>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20  </w:t>
            </w:r>
            <w:r>
              <w:rPr>
                <w:rFonts w:ascii="Calibri" w:hAnsi="Calibri" w:eastAsia="Microsoft YaHei"/>
                <w:b/>
                <w:color w:val="1F2937"/>
                <w:sz w:val="18"/>
              </w:rPr>
              <w:t>附录 C：案件数据分类与处理模板</w:t>
            </w:r>
          </w:p>
        </w:tc>
      </w:tr>
      <w:tr>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09  </w:t>
            </w:r>
            <w:r>
              <w:rPr>
                <w:rFonts w:ascii="Calibri" w:hAnsi="Calibri" w:eastAsia="Microsoft YaHei"/>
                <w:b/>
                <w:color w:val="1F2937"/>
                <w:sz w:val="18"/>
              </w:rPr>
              <w:t>九、商业模式与市场进入</w:t>
            </w:r>
          </w:p>
        </w:tc>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21  </w:t>
            </w:r>
            <w:r>
              <w:rPr>
                <w:rFonts w:ascii="Calibri" w:hAnsi="Calibri" w:eastAsia="Microsoft YaHei"/>
                <w:b/>
                <w:color w:val="1F2937"/>
                <w:sz w:val="18"/>
              </w:rPr>
              <w:t>附录 D：外发前律师审核清单</w:t>
            </w:r>
          </w:p>
        </w:tc>
      </w:tr>
      <w:tr>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10  </w:t>
            </w:r>
            <w:r>
              <w:rPr>
                <w:rFonts w:ascii="Calibri" w:hAnsi="Calibri" w:eastAsia="Microsoft YaHei"/>
                <w:b/>
                <w:color w:val="1F2937"/>
                <w:sz w:val="18"/>
              </w:rPr>
              <w:t>十、财务模型、预算与单位经济</w:t>
            </w:r>
          </w:p>
        </w:tc>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22  </w:t>
            </w:r>
            <w:r>
              <w:rPr>
                <w:rFonts w:ascii="Calibri" w:hAnsi="Calibri" w:eastAsia="Microsoft YaHei"/>
                <w:b/>
                <w:color w:val="1F2937"/>
                <w:sz w:val="18"/>
              </w:rPr>
              <w:t>附录 E：研究来源</w:t>
            </w:r>
          </w:p>
        </w:tc>
      </w:tr>
      <w:tr>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11  </w:t>
            </w:r>
            <w:r>
              <w:rPr>
                <w:rFonts w:ascii="Calibri" w:hAnsi="Calibri" w:eastAsia="Microsoft YaHei"/>
                <w:b/>
                <w:color w:val="1F2937"/>
                <w:sz w:val="18"/>
              </w:rPr>
              <w:t>十一、0—18 个月产品与公司路线图</w:t>
            </w:r>
          </w:p>
        </w:tc>
        <w:tc>
          <w:tcPr>
            <w:tcW w:type="dxa" w:w="4680"/>
            <w:tcMar>
              <w:top w:w="65" w:type="dxa"/>
              <w:start w:w="80" w:type="dxa"/>
              <w:bottom w:w="65" w:type="dxa"/>
              <w:end w:w="80" w:type="dxa"/>
            </w:tcMar>
            <w:shd w:fill="F4F6F9"/>
          </w:tcPr>
          <w:p>
            <w:pPr>
              <w:spacing w:after="100"/>
            </w:pPr>
            <w:r>
              <w:rPr>
                <w:rFonts w:ascii="Calibri" w:hAnsi="Calibri" w:eastAsia="Microsoft YaHei"/>
                <w:b/>
                <w:color w:val="3B82A0"/>
                <w:sz w:val="18"/>
              </w:rPr>
              <w:t xml:space="preserve">23  </w:t>
            </w:r>
            <w:r>
              <w:rPr>
                <w:rFonts w:ascii="Calibri" w:hAnsi="Calibri" w:eastAsia="Microsoft YaHei"/>
                <w:b/>
                <w:color w:val="1F2937"/>
                <w:sz w:val="18"/>
              </w:rPr>
              <w:t>附录 F：研究复跑输入</w:t>
            </w:r>
          </w:p>
        </w:tc>
      </w:tr>
      <w:tr>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12  </w:t>
            </w:r>
            <w:r>
              <w:rPr>
                <w:rFonts w:ascii="Calibri" w:hAnsi="Calibri" w:eastAsia="Microsoft YaHei"/>
                <w:b/>
                <w:color w:val="1F2937"/>
                <w:sz w:val="18"/>
              </w:rPr>
              <w:t>十二、团队、治理与交付能力</w:t>
            </w:r>
          </w:p>
        </w:tc>
        <w:tc>
          <w:tcPr>
            <w:tcW w:type="dxa" w:w="4680"/>
            <w:tcMar>
              <w:top w:w="65" w:type="dxa"/>
              <w:start w:w="80" w:type="dxa"/>
              <w:bottom w:w="65" w:type="dxa"/>
              <w:end w:w="80" w:type="dxa"/>
            </w:tcMar>
          </w:tcPr>
          <w:p>
            <w:pPr>
              <w:spacing w:after="100"/>
            </w:pPr>
            <w:r>
              <w:rPr>
                <w:rFonts w:ascii="Calibri" w:hAnsi="Calibri" w:eastAsia="Microsoft YaHei"/>
                <w:b/>
                <w:color w:val="3B82A0"/>
                <w:sz w:val="18"/>
              </w:rPr>
              <w:t xml:space="preserve">24  </w:t>
            </w:r>
            <w:r>
              <w:rPr>
                <w:rFonts w:ascii="Calibri" w:hAnsi="Calibri" w:eastAsia="Microsoft YaHei"/>
                <w:b/>
                <w:color w:val="1F2937"/>
                <w:sz w:val="18"/>
              </w:rPr>
              <w:t>附录 G：术语表</w:t>
            </w:r>
          </w:p>
        </w:tc>
      </w:tr>
    </w:tbl>
    <w:p>
      <w:r>
        <w:br w:type="page"/>
      </w:r>
    </w:p>
    <w:p>
      <w:pPr>
        <w:pStyle w:val="Heading2"/>
        <w:keepNext/>
        <w:keepLines/>
      </w:pPr>
      <w:r>
        <w:rPr>
          <w:rFonts w:ascii="Calibri" w:hAnsi="Calibri" w:eastAsia="Microsoft YaHei"/>
          <w:b/>
          <w:color w:val="1F4E79"/>
          <w:sz w:val="26"/>
        </w:rPr>
        <w:t>阅读指南与研究口径</w:t>
      </w:r>
    </w:p>
    <w:p>
      <w:r>
        <w:rPr>
          <w:rFonts w:ascii="Calibri" w:hAnsi="Calibri" w:eastAsia="Microsoft YaHei"/>
          <w:b w:val="0"/>
          <w:color w:val="1F2937"/>
          <w:sz w:val="22"/>
        </w:rPr>
        <w:t>本规划回答六个问题：为什么值得做、第一步做什么、哪些事情坚决不做、Hermes 哪些能力可以复用、怎样把多智能体变成受控的生产系统、如何在 18 个月内验证商业闭环。</w:t>
      </w:r>
    </w:p>
    <w:p>
      <w:r>
        <w:rPr>
          <w:rFonts w:ascii="Calibri" w:hAnsi="Calibri" w:eastAsia="Microsoft YaHei"/>
          <w:b w:val="0"/>
          <w:color w:val="1F2937"/>
          <w:sz w:val="22"/>
        </w:rPr>
        <w:t>研究采用四类证据：</w:t>
      </w:r>
    </w:p>
    <w:p>
      <w:pPr>
        <w:pStyle w:val="ListNumber"/>
        <w:numPr>
          <w:ilvl w:val="0"/>
          <w:numId w:val="10"/>
        </w:numPr>
        <w:keepLines/>
      </w:pPr>
      <w:r>
        <w:rPr>
          <w:rFonts w:ascii="Calibri" w:hAnsi="Calibri" w:eastAsia="Microsoft YaHei"/>
          <w:b/>
          <w:color w:val="1F2937"/>
          <w:sz w:val="22"/>
        </w:rPr>
        <w:t>代码事实</w:t>
      </w:r>
      <w:r>
        <w:rPr>
          <w:rFonts w:ascii="Calibri" w:hAnsi="Calibri" w:eastAsia="Microsoft YaHei"/>
          <w:b w:val="0"/>
          <w:color w:val="1F2937"/>
          <w:sz w:val="22"/>
        </w:rPr>
        <w:t>：直接审计当前 Hermes Agent 代码库、MIT 许可、工具权限、会话存储、子智能体、插件和桌面端实现。</w:t>
      </w:r>
    </w:p>
    <w:p>
      <w:pPr>
        <w:pStyle w:val="ListNumber"/>
        <w:numPr>
          <w:ilvl w:val="0"/>
          <w:numId w:val="10"/>
        </w:numPr>
        <w:keepLines/>
      </w:pPr>
      <w:r>
        <w:rPr>
          <w:rFonts w:ascii="Calibri" w:hAnsi="Calibri" w:eastAsia="Microsoft YaHei"/>
          <w:b/>
          <w:color w:val="1F2937"/>
          <w:sz w:val="22"/>
        </w:rPr>
        <w:t>强制性规范</w:t>
      </w:r>
      <w:r>
        <w:rPr>
          <w:rFonts w:ascii="Calibri" w:hAnsi="Calibri" w:eastAsia="Microsoft YaHei"/>
          <w:b w:val="0"/>
          <w:color w:val="1F2937"/>
          <w:sz w:val="22"/>
        </w:rPr>
        <w:t>：现行法律、行政法规、部门规章及生效的监管办法。</w:t>
      </w:r>
    </w:p>
    <w:p>
      <w:pPr>
        <w:pStyle w:val="ListNumber"/>
        <w:numPr>
          <w:ilvl w:val="0"/>
          <w:numId w:val="10"/>
        </w:numPr>
        <w:keepLines/>
      </w:pPr>
      <w:r>
        <w:rPr>
          <w:rFonts w:ascii="Calibri" w:hAnsi="Calibri" w:eastAsia="Microsoft YaHei"/>
          <w:b/>
          <w:color w:val="1F2937"/>
          <w:sz w:val="22"/>
        </w:rPr>
        <w:t>参考性规范</w:t>
      </w:r>
      <w:r>
        <w:rPr>
          <w:rFonts w:ascii="Calibri" w:hAnsi="Calibri" w:eastAsia="Microsoft YaHei"/>
          <w:b w:val="0"/>
          <w:color w:val="1F2937"/>
          <w:sz w:val="22"/>
        </w:rPr>
        <w:t>：律师协会指引、国家推荐性标准、最高人民法院司法 AI 意见、NIST 等治理框架。</w:t>
      </w:r>
    </w:p>
    <w:p>
      <w:pPr>
        <w:pStyle w:val="ListNumber"/>
        <w:numPr>
          <w:ilvl w:val="0"/>
          <w:numId w:val="10"/>
        </w:numPr>
        <w:keepLines/>
      </w:pPr>
      <w:r>
        <w:rPr>
          <w:rFonts w:ascii="Calibri" w:hAnsi="Calibri" w:eastAsia="Microsoft YaHei"/>
          <w:b/>
          <w:color w:val="1F2937"/>
          <w:sz w:val="22"/>
        </w:rPr>
        <w:t>市场证据</w:t>
      </w:r>
      <w:r>
        <w:rPr>
          <w:rFonts w:ascii="Calibri" w:hAnsi="Calibri" w:eastAsia="Microsoft YaHei"/>
          <w:b w:val="0"/>
          <w:color w:val="1F2937"/>
          <w:sz w:val="22"/>
        </w:rPr>
        <w:t>：国内外法律科技产品官方资料、专业服务采用报告和法律 AI 可靠性论文。</w:t>
      </w:r>
    </w:p>
    <w:p>
      <w:r>
        <w:rPr>
          <w:rFonts w:ascii="Calibri" w:hAnsi="Calibri" w:eastAsia="Microsoft YaHei"/>
          <w:b w:val="0"/>
          <w:color w:val="1F2937"/>
          <w:sz w:val="22"/>
        </w:rPr>
        <w:t>文中“必须”仅在对应强制性依据或本项目内部发布门禁中使用；“建议”“目标”“假设”分别表示管理建议、拟定指标和仍需客户验证的商业参数。所有价格、预算、渗透率和收入预测均为规划假设，不是市场报价或业绩承诺。</w:t>
      </w:r>
    </w:p>
    <w:p>
      <w:pPr>
        <w:pStyle w:val="Heading1"/>
        <w:pageBreakBefore w:val="0"/>
        <w:keepNext/>
        <w:keepLines/>
      </w:pPr>
      <w:r>
        <w:rPr>
          <w:rFonts w:ascii="Calibri" w:hAnsi="Calibri" w:eastAsia="Microsoft YaHei"/>
          <w:b/>
          <w:color w:val="1F4E79"/>
          <w:sz w:val="32"/>
        </w:rPr>
        <w:t>一、执行摘要</w:t>
      </w:r>
    </w:p>
    <w:p>
      <w:pPr>
        <w:pStyle w:val="Heading2"/>
        <w:keepNext/>
        <w:keepLines/>
      </w:pPr>
      <w:r>
        <w:rPr>
          <w:rFonts w:ascii="Calibri" w:hAnsi="Calibri" w:eastAsia="Microsoft YaHei"/>
          <w:b/>
          <w:color w:val="1F4E79"/>
          <w:sz w:val="26"/>
        </w:rPr>
        <w:t>1.1 一句话结论</w:t>
      </w:r>
    </w:p>
    <w:p>
      <w:r>
        <w:rPr>
          <w:rFonts w:ascii="Calibri" w:hAnsi="Calibri" w:eastAsia="Microsoft YaHei"/>
          <w:b/>
          <w:color w:val="1F2937"/>
          <w:sz w:val="22"/>
        </w:rPr>
        <w:t>可以商业化，但不应从“面向公众的多智能体数字律师事务所”起步。</w:t>
      </w:r>
      <w:r>
        <w:rPr>
          <w:rFonts w:ascii="Calibri" w:hAnsi="Calibri" w:eastAsia="Microsoft YaHei"/>
          <w:b w:val="0"/>
          <w:color w:val="1F2937"/>
          <w:sz w:val="22"/>
        </w:rPr>
        <w:t xml:space="preserve"> 最优切入点是：以 Hermes 的编排、模型适配、桌面端和审批机制为技术底座，重构为一套面向持证法律专业人士的 </w:t>
      </w:r>
      <w:r>
        <w:rPr>
          <w:rFonts w:ascii="Calibri" w:hAnsi="Calibri" w:eastAsia="Microsoft YaHei"/>
          <w:b/>
          <w:color w:val="1F2937"/>
          <w:sz w:val="22"/>
        </w:rPr>
        <w:t>案件工程工作台</w:t>
      </w:r>
      <w:r>
        <w:rPr>
          <w:rFonts w:ascii="Calibri" w:hAnsi="Calibri" w:eastAsia="Microsoft YaHei"/>
          <w:b w:val="0"/>
          <w:color w:val="1F2937"/>
          <w:sz w:val="22"/>
        </w:rPr>
        <w:t>，首先解决海量材料接收、证据保全、事实梳理、争点拆解、法律检索和文书初稿中的重复劳动，并让每一个重要结论都能回到原始材料页码、有效法条或权威案例。</w:t>
      </w:r>
    </w:p>
    <w:p>
      <w:r>
        <w:rPr>
          <w:rFonts w:ascii="Calibri" w:hAnsi="Calibri" w:eastAsia="Microsoft YaHei"/>
          <w:b w:val="0"/>
          <w:color w:val="1F2937"/>
          <w:sz w:val="22"/>
        </w:rPr>
        <w:t>对外推荐定位：</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持证律师监督下的、证据可追溯的案件梳理与法律协作平台。</w:t>
            </w:r>
          </w:p>
        </w:tc>
      </w:tr>
    </w:tbl>
    <w:p>
      <w:pPr>
        <w:spacing w:after="0"/>
      </w:pPr>
    </w:p>
    <w:p>
      <w:r>
        <w:rPr>
          <w:rFonts w:ascii="Calibri" w:hAnsi="Calibri" w:eastAsia="Microsoft YaHei"/>
          <w:b w:val="0"/>
          <w:color w:val="1F2937"/>
          <w:sz w:val="22"/>
        </w:rPr>
        <w:t>不推荐的首发定位：</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“自动律师”“无人律所”“AI 独立办案”“胜诉预测神器”。</w:t>
            </w:r>
          </w:p>
        </w:tc>
      </w:tr>
    </w:tbl>
    <w:p>
      <w:pPr>
        <w:spacing w:after="0"/>
      </w:pPr>
    </w:p>
    <w:p>
      <w:r>
        <w:rPr>
          <w:rFonts w:ascii="Calibri" w:hAnsi="Calibri" w:eastAsia="Microsoft YaHei"/>
          <w:b w:val="0"/>
          <w:color w:val="1F2937"/>
          <w:sz w:val="22"/>
        </w:rPr>
        <w:t>原因不是营销保守，而是产品责任结构不同。《律师法》将律师定义为依法取得执业证书、接受委托或指定、为当事人提供法律服务的执业人员，并禁止未取得执业证书者以律师名义从事法律服务；律师还承担保密、利益冲突和交付责任。</w:t>
      </w:r>
      <w:hyperlink r:id="rId11">
        <w:r>
          <w:rPr>
            <w:rFonts w:ascii="Calibri" w:hAnsi="Calibri" w:eastAsia="Microsoft YaHei"/>
            <w:color w:val="1F4E79"/>
            <w:u w:val="single"/>
          </w:rPr>
          <w:t>《中华人民共和国律师法》</w:t>
        </w:r>
      </w:hyperlink>
      <w:r>
        <w:rPr>
          <w:rFonts w:ascii="Calibri" w:hAnsi="Calibri" w:eastAsia="Microsoft YaHei"/>
          <w:b w:val="0"/>
          <w:color w:val="1F2937"/>
          <w:sz w:val="22"/>
        </w:rPr>
        <w:t xml:space="preserve"> 因此，产品必须明确：</w:t>
      </w:r>
      <w:r>
        <w:rPr>
          <w:rFonts w:ascii="Calibri" w:hAnsi="Calibri" w:eastAsia="Microsoft YaHei"/>
          <w:b/>
          <w:color w:val="1F2937"/>
          <w:sz w:val="22"/>
        </w:rPr>
        <w:t>AI 生成的是待审工作成果，持证律师才是专业判断、客户沟通、签署、提交和责任承担主体。</w:t>
      </w:r>
    </w:p>
    <w:p>
      <w:pPr>
        <w:pStyle w:val="Heading2"/>
        <w:keepNext/>
        <w:keepLines/>
      </w:pPr>
      <w:r>
        <w:rPr>
          <w:rFonts w:ascii="Calibri" w:hAnsi="Calibri" w:eastAsia="Microsoft YaHei"/>
          <w:b/>
          <w:color w:val="1F4E79"/>
          <w:sz w:val="26"/>
        </w:rPr>
        <w:t>1.2 投资主张</w:t>
      </w:r>
    </w:p>
    <w:p>
      <w:r>
        <w:rPr>
          <w:rFonts w:ascii="Calibri" w:hAnsi="Calibri" w:eastAsia="Microsoft YaHei"/>
          <w:b w:val="0"/>
          <w:color w:val="1F2937"/>
          <w:sz w:val="22"/>
        </w:rPr>
        <w:t>建议以“六项立项门槛”批准项目：</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143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门槛</w:t>
            </w:r>
          </w:p>
        </w:tc>
        <w:tc>
          <w:tcPr>
            <w:tcW w:type="dxa" w:w="442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立项要求</w:t>
            </w:r>
          </w:p>
        </w:tc>
        <w:tc>
          <w:tcPr>
            <w:tcW w:type="dxa" w:w="350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未达标处理</w:t>
            </w:r>
          </w:p>
        </w:tc>
      </w:tr>
      <w:tr>
        <w:trPr>
          <w:cantSplit/>
        </w:trPr>
        <w:tc>
          <w:tcPr>
            <w:tcW w:type="dxa" w:w="14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场景门槛</w:t>
            </w:r>
          </w:p>
        </w:tc>
        <w:tc>
          <w:tcPr>
            <w:tcW w:type="dxa" w:w="442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只做商业合同类民商事争议的材料梳理与受控起草</w:t>
            </w:r>
          </w:p>
        </w:tc>
        <w:tc>
          <w:tcPr>
            <w:tcW w:type="dxa" w:w="35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不扩到刑事、家事未成年人、国家秘密案件</w:t>
            </w:r>
          </w:p>
        </w:tc>
      </w:tr>
      <w:tr>
        <w:trPr>
          <w:cantSplit/>
        </w:trPr>
        <w:tc>
          <w:tcPr>
            <w:tcW w:type="dxa" w:w="14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客户门槛</w:t>
            </w:r>
          </w:p>
        </w:tc>
        <w:tc>
          <w:tcPr>
            <w:tcW w:type="dxa" w:w="442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首批 5—8 家共创律所，每家提供 3—5 个有合法授权的历史或在办案件</w:t>
            </w:r>
          </w:p>
        </w:tc>
        <w:tc>
          <w:tcPr>
            <w:tcW w:type="dxa" w:w="35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不凭内部想象开发半年</w:t>
            </w:r>
          </w:p>
        </w:tc>
      </w:tr>
      <w:tr>
        <w:trPr>
          <w:cantSplit/>
        </w:trPr>
        <w:tc>
          <w:tcPr>
            <w:tcW w:type="dxa" w:w="14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质量门槛</w:t>
            </w:r>
          </w:p>
        </w:tc>
        <w:tc>
          <w:tcPr>
            <w:tcW w:type="dxa" w:w="442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外发成果虚构法条/案例为零；重要结论来源覆盖率 100%</w:t>
            </w:r>
          </w:p>
        </w:tc>
        <w:tc>
          <w:tcPr>
            <w:tcW w:type="dxa" w:w="35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不允许用“总体准确率”掩盖致命错误</w:t>
            </w:r>
          </w:p>
        </w:tc>
      </w:tr>
      <w:tr>
        <w:trPr>
          <w:cantSplit/>
        </w:trPr>
        <w:tc>
          <w:tcPr>
            <w:tcW w:type="dxa" w:w="14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效率门槛</w:t>
            </w:r>
          </w:p>
        </w:tc>
        <w:tc>
          <w:tcPr>
            <w:tcW w:type="dxa" w:w="442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在完整计入律师复核时间后，案件梳理净工时下降至少 30%</w:t>
            </w:r>
          </w:p>
        </w:tc>
        <w:tc>
          <w:tcPr>
            <w:tcW w:type="dxa" w:w="35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若三轮迭代后仍不达标，停止扩张</w:t>
            </w:r>
          </w:p>
        </w:tc>
      </w:tr>
      <w:tr>
        <w:trPr>
          <w:cantSplit/>
        </w:trPr>
        <w:tc>
          <w:tcPr>
            <w:tcW w:type="dxa" w:w="14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安全门槛</w:t>
            </w:r>
          </w:p>
        </w:tc>
        <w:tc>
          <w:tcPr>
            <w:tcW w:type="dxa" w:w="442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跨租户泄露测试为零；生产环境取消通用终端、YOLO 和未签名插件</w:t>
            </w:r>
          </w:p>
        </w:tc>
        <w:tc>
          <w:tcPr>
            <w:tcW w:type="dxa" w:w="35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未完成前不得接收真实案件原件</w:t>
            </w:r>
          </w:p>
        </w:tc>
      </w:tr>
      <w:tr>
        <w:trPr>
          <w:cantSplit/>
        </w:trPr>
        <w:tc>
          <w:tcPr>
            <w:tcW w:type="dxa" w:w="14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商业门槛</w:t>
            </w:r>
          </w:p>
        </w:tc>
        <w:tc>
          <w:tcPr>
            <w:tcW w:type="dxa" w:w="442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至少 3 家试点客户愿意按年付费，且可复现采购路径</w:t>
            </w:r>
          </w:p>
        </w:tc>
        <w:tc>
          <w:tcPr>
            <w:tcW w:type="dxa" w:w="35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只有“喜欢”没有付费则不进入规模销售</w:t>
            </w:r>
          </w:p>
        </w:tc>
      </w:tr>
    </w:tbl>
    <w:p>
      <w:pPr>
        <w:spacing w:after="0"/>
      </w:pPr>
    </w:p>
    <w:p>
      <w:pPr>
        <w:pStyle w:val="Heading2"/>
        <w:keepNext/>
        <w:keepLines/>
      </w:pPr>
      <w:r>
        <w:rPr>
          <w:rFonts w:ascii="Calibri" w:hAnsi="Calibri" w:eastAsia="Microsoft YaHei"/>
          <w:b/>
          <w:color w:val="1F4E79"/>
          <w:sz w:val="26"/>
        </w:rPr>
        <w:t>1.3 战略选择</w:t>
      </w:r>
    </w:p>
    <w:p>
      <w:r>
        <w:rPr>
          <w:rFonts w:ascii="Calibri" w:hAnsi="Calibri" w:eastAsia="Microsoft YaHei"/>
          <w:b w:val="0"/>
          <w:color w:val="1F2937"/>
          <w:sz w:val="22"/>
        </w:rPr>
        <w:t>本规划作出七个明确选择：</w:t>
      </w:r>
    </w:p>
    <w:p>
      <w:pPr>
        <w:pStyle w:val="ListNumber"/>
        <w:numPr>
          <w:ilvl w:val="0"/>
          <w:numId w:val="11"/>
        </w:numPr>
        <w:keepLines/>
      </w:pPr>
      <w:r>
        <w:rPr>
          <w:rFonts w:ascii="Calibri" w:hAnsi="Calibri" w:eastAsia="Microsoft YaHei"/>
          <w:b/>
          <w:color w:val="1F2937"/>
          <w:sz w:val="22"/>
        </w:rPr>
        <w:t>先 B2B，再考虑 B2B2C；不直接做大众法律咨询。</w:t>
      </w:r>
      <w:r>
        <w:rPr>
          <w:rFonts w:ascii="Calibri" w:hAnsi="Calibri" w:eastAsia="Microsoft YaHei"/>
          <w:b w:val="0"/>
          <w:color w:val="1F2937"/>
          <w:sz w:val="22"/>
        </w:rPr>
        <w:t xml:space="preserve"> 先服务律所和法务，降低无监督输出、获客合规与人格化交互风险。</w:t>
      </w:r>
    </w:p>
    <w:p>
      <w:pPr>
        <w:pStyle w:val="ListNumber"/>
        <w:numPr>
          <w:ilvl w:val="0"/>
          <w:numId w:val="11"/>
        </w:numPr>
        <w:keepLines/>
      </w:pPr>
      <w:r>
        <w:rPr>
          <w:rFonts w:ascii="Calibri" w:hAnsi="Calibri" w:eastAsia="Microsoft YaHei"/>
          <w:b/>
          <w:color w:val="1F2937"/>
          <w:sz w:val="22"/>
        </w:rPr>
        <w:t>先做案件事实与证据工程，再做法律策略生成。</w:t>
      </w:r>
      <w:r>
        <w:rPr>
          <w:rFonts w:ascii="Calibri" w:hAnsi="Calibri" w:eastAsia="Microsoft YaHei"/>
          <w:b w:val="0"/>
          <w:color w:val="1F2937"/>
          <w:sz w:val="22"/>
        </w:rPr>
        <w:t xml:space="preserve"> 事实梳理更高频、更可验证，也更容易形成工作流和数据壁垒。</w:t>
      </w:r>
    </w:p>
    <w:p>
      <w:pPr>
        <w:pStyle w:val="ListNumber"/>
        <w:numPr>
          <w:ilvl w:val="0"/>
          <w:numId w:val="11"/>
        </w:numPr>
        <w:keepLines/>
      </w:pPr>
      <w:r>
        <w:rPr>
          <w:rFonts w:ascii="Calibri" w:hAnsi="Calibri" w:eastAsia="Microsoft YaHei"/>
          <w:b/>
          <w:color w:val="1F2937"/>
          <w:sz w:val="22"/>
        </w:rPr>
        <w:t>先做一个案由簇，不做“全能法律 AI”。</w:t>
      </w:r>
      <w:r>
        <w:rPr>
          <w:rFonts w:ascii="Calibri" w:hAnsi="Calibri" w:eastAsia="Microsoft YaHei"/>
          <w:b w:val="0"/>
          <w:color w:val="1F2937"/>
          <w:sz w:val="22"/>
        </w:rPr>
        <w:t xml:space="preserve"> 首发选择商业合同争议；第二阶段再评估建设工程或劳动争议。</w:t>
      </w:r>
    </w:p>
    <w:p>
      <w:pPr>
        <w:pStyle w:val="ListNumber"/>
        <w:numPr>
          <w:ilvl w:val="0"/>
          <w:numId w:val="11"/>
        </w:numPr>
        <w:keepLines/>
      </w:pPr>
      <w:r>
        <w:rPr>
          <w:rFonts w:ascii="Calibri" w:hAnsi="Calibri" w:eastAsia="Microsoft YaHei"/>
          <w:b/>
          <w:color w:val="1F2937"/>
          <w:sz w:val="22"/>
        </w:rPr>
        <w:t>“多智能体”是内部实现，不是首要卖点。</w:t>
      </w:r>
      <w:r>
        <w:rPr>
          <w:rFonts w:ascii="Calibri" w:hAnsi="Calibri" w:eastAsia="Microsoft YaHei"/>
          <w:b w:val="0"/>
          <w:color w:val="1F2937"/>
          <w:sz w:val="22"/>
        </w:rPr>
        <w:t xml:space="preserve"> 客户购买的是更快、更稳、更可审计的工作成果，而不是智能体数量。</w:t>
      </w:r>
    </w:p>
    <w:p>
      <w:pPr>
        <w:pStyle w:val="ListNumber"/>
        <w:numPr>
          <w:ilvl w:val="0"/>
          <w:numId w:val="11"/>
        </w:numPr>
        <w:keepLines/>
      </w:pPr>
      <w:r>
        <w:rPr>
          <w:rFonts w:ascii="Calibri" w:hAnsi="Calibri" w:eastAsia="Microsoft YaHei"/>
          <w:b/>
          <w:color w:val="1F2937"/>
          <w:sz w:val="22"/>
        </w:rPr>
        <w:t>中国境内数据面与模型网关优先。</w:t>
      </w:r>
      <w:r>
        <w:rPr>
          <w:rFonts w:ascii="Calibri" w:hAnsi="Calibri" w:eastAsia="Microsoft YaHei"/>
          <w:b w:val="0"/>
          <w:color w:val="1F2937"/>
          <w:sz w:val="22"/>
        </w:rPr>
        <w:t xml:space="preserve"> 原始案件材料默认不得进入境外模型；敏感材料优先私有化或客户专属环境。</w:t>
      </w:r>
    </w:p>
    <w:p>
      <w:pPr>
        <w:pStyle w:val="ListNumber"/>
        <w:numPr>
          <w:ilvl w:val="0"/>
          <w:numId w:val="11"/>
        </w:numPr>
        <w:keepLines/>
      </w:pPr>
      <w:r>
        <w:rPr>
          <w:rFonts w:ascii="Calibri" w:hAnsi="Calibri" w:eastAsia="Microsoft YaHei"/>
          <w:b/>
          <w:color w:val="1F2937"/>
          <w:sz w:val="22"/>
        </w:rPr>
        <w:t>每个动作都受案件、角色和授权约束。</w:t>
      </w:r>
      <w:r>
        <w:rPr>
          <w:rFonts w:ascii="Calibri" w:hAnsi="Calibri" w:eastAsia="Microsoft YaHei"/>
          <w:b w:val="0"/>
          <w:color w:val="1F2937"/>
          <w:sz w:val="22"/>
        </w:rPr>
        <w:t xml:space="preserve"> 生产智能体没有通用 Shell、任意网页发布、任意跨案件检索或自动外发权限。</w:t>
      </w:r>
    </w:p>
    <w:p>
      <w:pPr>
        <w:pStyle w:val="ListNumber"/>
        <w:numPr>
          <w:ilvl w:val="0"/>
          <w:numId w:val="11"/>
        </w:numPr>
        <w:keepLines/>
      </w:pPr>
      <w:r>
        <w:rPr>
          <w:rFonts w:ascii="Calibri" w:hAnsi="Calibri" w:eastAsia="Microsoft YaHei"/>
          <w:b/>
          <w:color w:val="1F2937"/>
          <w:sz w:val="22"/>
        </w:rPr>
        <w:t>可验证性优先于语言流畅度。</w:t>
      </w:r>
      <w:r>
        <w:rPr>
          <w:rFonts w:ascii="Calibri" w:hAnsi="Calibri" w:eastAsia="Microsoft YaHei"/>
          <w:b w:val="0"/>
          <w:color w:val="1F2937"/>
          <w:sz w:val="22"/>
        </w:rPr>
        <w:t xml:space="preserve"> 任何“看起来像律师写的”但找不到证据或有效法源的内容，都视为未完成品。</w:t>
      </w:r>
    </w:p>
    <w:p>
      <w:pPr>
        <w:pStyle w:val="Heading2"/>
        <w:keepNext/>
        <w:keepLines/>
      </w:pPr>
      <w:r>
        <w:rPr>
          <w:rFonts w:ascii="Calibri" w:hAnsi="Calibri" w:eastAsia="Microsoft YaHei"/>
          <w:b/>
          <w:color w:val="1F4E79"/>
          <w:sz w:val="26"/>
        </w:rPr>
        <w:t>1.4 建议的产品三层结构</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67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层级</w:t>
            </w:r>
          </w:p>
        </w:tc>
        <w:tc>
          <w:tcPr>
            <w:tcW w:type="dxa" w:w="279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客户价值</w:t>
            </w:r>
          </w:p>
        </w:tc>
        <w:tc>
          <w:tcPr>
            <w:tcW w:type="dxa" w:w="335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主要产物</w:t>
            </w:r>
          </w:p>
        </w:tc>
        <w:tc>
          <w:tcPr>
            <w:tcW w:type="dxa" w:w="153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商业化顺序</w:t>
            </w:r>
          </w:p>
        </w:tc>
      </w:tr>
      <w:tr>
        <w:trPr>
          <w:cantSplit/>
        </w:trPr>
        <w:tc>
          <w:tcPr>
            <w:tcW w:type="dxa" w:w="167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L1 案件工程层</w:t>
            </w:r>
          </w:p>
        </w:tc>
        <w:tc>
          <w:tcPr>
            <w:tcW w:type="dxa" w:w="27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把杂乱卷宗变成结构化、可追溯的案件底稿</w:t>
            </w:r>
          </w:p>
        </w:tc>
        <w:tc>
          <w:tcPr>
            <w:tcW w:type="dxa" w:w="33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文档目录、实体表、时间线、证据表、矛盾项、缺口清单</w:t>
            </w:r>
          </w:p>
        </w:tc>
        <w:tc>
          <w:tcPr>
            <w:tcW w:type="dxa" w:w="15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MVP 核心</w:t>
            </w:r>
          </w:p>
        </w:tc>
      </w:tr>
      <w:tr>
        <w:trPr>
          <w:cantSplit/>
        </w:trPr>
        <w:tc>
          <w:tcPr>
            <w:tcW w:type="dxa" w:w="167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L2 验证型法律协作层</w:t>
            </w:r>
          </w:p>
        </w:tc>
        <w:tc>
          <w:tcPr>
            <w:tcW w:type="dxa" w:w="27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将事实与请求权、法条、案例和文书模板连接</w:t>
            </w:r>
          </w:p>
        </w:tc>
        <w:tc>
          <w:tcPr>
            <w:tcW w:type="dxa" w:w="33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争点树、要件—事实—证据矩阵、检索报告、文书初稿</w:t>
            </w:r>
          </w:p>
        </w:tc>
        <w:tc>
          <w:tcPr>
            <w:tcW w:type="dxa" w:w="15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试点后半段</w:t>
            </w:r>
          </w:p>
        </w:tc>
      </w:tr>
      <w:tr>
        <w:trPr>
          <w:cantSplit/>
        </w:trPr>
        <w:tc>
          <w:tcPr>
            <w:tcW w:type="dxa" w:w="167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L3 受控多智能体工作流</w:t>
            </w:r>
          </w:p>
        </w:tc>
        <w:tc>
          <w:tcPr>
            <w:tcW w:type="dxa" w:w="27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并行完成研究、对抗审查、起草和验证</w:t>
            </w:r>
          </w:p>
        </w:tc>
        <w:tc>
          <w:tcPr>
            <w:tcW w:type="dxa" w:w="33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可复盘任务链、角色化产出、审批记录</w:t>
            </w:r>
          </w:p>
        </w:tc>
        <w:tc>
          <w:tcPr>
            <w:tcW w:type="dxa" w:w="15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收费 V1 后逐步开放</w:t>
            </w:r>
          </w:p>
        </w:tc>
      </w:tr>
    </w:tbl>
    <w:p>
      <w:pPr>
        <w:spacing w:after="0"/>
      </w:pPr>
    </w:p>
    <w:p>
      <w:pPr>
        <w:pStyle w:val="Heading2"/>
        <w:keepNext/>
        <w:keepLines/>
      </w:pPr>
      <w:r>
        <w:rPr>
          <w:rFonts w:ascii="Calibri" w:hAnsi="Calibri" w:eastAsia="Microsoft YaHei"/>
          <w:b/>
          <w:color w:val="1F4E79"/>
          <w:sz w:val="26"/>
        </w:rPr>
        <w:t>1.5 18 个月目标态</w:t>
      </w:r>
    </w:p>
    <w:p>
      <w:r>
        <w:rPr>
          <w:rFonts w:ascii="Calibri" w:hAnsi="Calibri" w:eastAsia="Microsoft YaHei"/>
          <w:b w:val="0"/>
          <w:color w:val="1F2937"/>
          <w:sz w:val="22"/>
        </w:rPr>
        <w:t>到第 18 个月，产品应具备：</w:t>
      </w:r>
    </w:p>
    <w:p>
      <w:pPr>
        <w:pStyle w:val="ListBullet"/>
        <w:keepLines/>
      </w:pPr>
      <w:r>
        <w:rPr>
          <w:rFonts w:ascii="Calibri" w:hAnsi="Calibri" w:eastAsia="Microsoft YaHei"/>
          <w:b w:val="0"/>
          <w:color w:val="1F2937"/>
          <w:sz w:val="22"/>
        </w:rPr>
        <w:t>50—100 家付费机构或等价的企业客户组合；</w:t>
      </w:r>
    </w:p>
    <w:p>
      <w:pPr>
        <w:pStyle w:val="ListBullet"/>
        <w:keepLines/>
      </w:pPr>
      <w:r>
        <w:rPr>
          <w:rFonts w:ascii="Calibri" w:hAnsi="Calibri" w:eastAsia="Microsoft YaHei"/>
          <w:b w:val="0"/>
          <w:color w:val="1F2937"/>
          <w:sz w:val="22"/>
        </w:rPr>
        <w:t>商业合同争议的端到端受控工作流，另有一个案由簇进入有限可用；</w:t>
      </w:r>
    </w:p>
    <w:p>
      <w:pPr>
        <w:pStyle w:val="ListBullet"/>
        <w:keepLines/>
      </w:pPr>
      <w:r>
        <w:rPr>
          <w:rFonts w:ascii="Calibri" w:hAnsi="Calibri" w:eastAsia="Microsoft YaHei"/>
          <w:b w:val="0"/>
          <w:color w:val="1F2937"/>
          <w:sz w:val="22"/>
        </w:rPr>
        <w:t>SaaS、专属云和私有化三种交付模式，但共用一套版本与策略控制面；</w:t>
      </w:r>
    </w:p>
    <w:p>
      <w:pPr>
        <w:pStyle w:val="ListBullet"/>
        <w:keepLines/>
      </w:pPr>
      <w:r>
        <w:rPr>
          <w:rFonts w:ascii="Calibri" w:hAnsi="Calibri" w:eastAsia="Microsoft YaHei"/>
          <w:b w:val="0"/>
          <w:color w:val="1F2937"/>
          <w:sz w:val="22"/>
        </w:rPr>
        <w:t>权威法源合作或合法授权的数据供应链；</w:t>
      </w:r>
    </w:p>
    <w:p>
      <w:pPr>
        <w:pStyle w:val="ListBullet"/>
        <w:keepLines/>
      </w:pPr>
      <w:r>
        <w:rPr>
          <w:rFonts w:ascii="Calibri" w:hAnsi="Calibri" w:eastAsia="Microsoft YaHei"/>
          <w:b w:val="0"/>
          <w:color w:val="1F2937"/>
          <w:sz w:val="22"/>
        </w:rPr>
        <w:t>完整的租户/案件隔离、利益冲突墙、不可抵赖审计、数据生命周期和模型供应商治理；</w:t>
      </w:r>
    </w:p>
    <w:p>
      <w:pPr>
        <w:pStyle w:val="ListBullet"/>
        <w:keepLines/>
      </w:pPr>
      <w:r>
        <w:rPr>
          <w:rFonts w:ascii="Calibri" w:hAnsi="Calibri" w:eastAsia="Microsoft YaHei"/>
          <w:b w:val="0"/>
          <w:color w:val="1F2937"/>
          <w:sz w:val="22"/>
        </w:rPr>
        <w:t>经过盲测的事实抽取、证据关联、法律引证和文书审查评测集；</w:t>
      </w:r>
    </w:p>
    <w:p>
      <w:pPr>
        <w:pStyle w:val="ListBullet"/>
        <w:keepLines/>
      </w:pPr>
      <w:r>
        <w:rPr>
          <w:rFonts w:ascii="Calibri" w:hAnsi="Calibri" w:eastAsia="Microsoft YaHei"/>
          <w:b w:val="0"/>
          <w:color w:val="1F2937"/>
          <w:sz w:val="22"/>
        </w:rPr>
        <w:t>年度经常性收入（ARR）进入 1,500 万—3,000 万元的可验证区间，或以更高客单价的私有化合同达到同等收入质量。</w:t>
      </w:r>
    </w:p>
    <w:p>
      <w:pPr>
        <w:pStyle w:val="Heading2"/>
        <w:keepNext/>
        <w:keepLines/>
      </w:pPr>
      <w:r>
        <w:rPr>
          <w:rFonts w:ascii="Calibri" w:hAnsi="Calibri" w:eastAsia="Microsoft YaHei"/>
          <w:b/>
          <w:color w:val="1F4E79"/>
          <w:sz w:val="26"/>
        </w:rPr>
        <w:t>1.6 北极星指标</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每个经律师审核通过的“案件工作包”所节省的净工时。</w:t>
            </w:r>
          </w:p>
        </w:tc>
      </w:tr>
    </w:tbl>
    <w:p>
      <w:pPr>
        <w:spacing w:after="0"/>
      </w:pPr>
    </w:p>
    <w:p>
      <w:r>
        <w:rPr>
          <w:rFonts w:ascii="Calibri" w:hAnsi="Calibri" w:eastAsia="Microsoft YaHei"/>
          <w:b w:val="0"/>
          <w:color w:val="1F2937"/>
          <w:sz w:val="22"/>
        </w:rPr>
        <w:t>“净工时”必须扣除上传、纠错、等待、来源核验和审阅时间；“案件工作包”至少包含时间线、争点/要件矩阵、证据目录、缺口清单及一份待审法律工作成果。该指标避免团队沉迷调用次数、Token 消耗、文档字数或智能体数量等虚荣指标。</w:t>
      </w:r>
    </w:p>
    <w:p>
      <w:pPr>
        <w:pStyle w:val="Heading1"/>
        <w:keepNext/>
        <w:keepLines/>
      </w:pPr>
      <w:r>
        <w:rPr>
          <w:rFonts w:ascii="Calibri" w:hAnsi="Calibri" w:eastAsia="Microsoft YaHei"/>
          <w:b/>
          <w:color w:val="1F4E79"/>
          <w:sz w:val="32"/>
        </w:rPr>
        <w:t>二、项目基线：Hermes 能复用什么，必须重构什么</w:t>
      </w:r>
    </w:p>
    <w:p>
      <w:pPr>
        <w:pStyle w:val="Heading2"/>
        <w:keepNext/>
        <w:keepLines/>
      </w:pPr>
      <w:r>
        <w:rPr>
          <w:rFonts w:ascii="Calibri" w:hAnsi="Calibri" w:eastAsia="Microsoft YaHei"/>
          <w:b/>
          <w:color w:val="1F4E79"/>
          <w:sz w:val="26"/>
        </w:rPr>
        <w:t>2.1 许可与商业使用结论</w:t>
      </w:r>
    </w:p>
    <w:p>
      <w:r>
        <w:rPr>
          <w:rFonts w:ascii="Calibri" w:hAnsi="Calibri" w:eastAsia="Microsoft YaHei"/>
          <w:b w:val="0"/>
          <w:color w:val="1F2937"/>
          <w:sz w:val="22"/>
        </w:rPr>
        <w:t xml:space="preserve">当前仓库根许可证为 </w:t>
      </w:r>
      <w:r>
        <w:rPr>
          <w:rFonts w:ascii="Calibri" w:hAnsi="Calibri" w:eastAsia="Microsoft YaHei"/>
          <w:b/>
          <w:color w:val="1F2937"/>
          <w:sz w:val="22"/>
        </w:rPr>
        <w:t>MIT License</w:t>
      </w:r>
      <w:r>
        <w:rPr>
          <w:rFonts w:ascii="Calibri" w:hAnsi="Calibri" w:eastAsia="Microsoft YaHei"/>
          <w:b w:val="0"/>
          <w:color w:val="1F2937"/>
          <w:sz w:val="22"/>
        </w:rPr>
        <w:t>，允许使用、复制、修改、合并、发布、分发、再许可和销售，但商业发行必须在软件副本或重要部分中保留原版权及许可声明。许可证不提供任何明示或默示保证。</w:t>
      </w:r>
    </w:p>
    <w:p>
      <w:r>
        <w:rPr>
          <w:rFonts w:ascii="Calibri" w:hAnsi="Calibri" w:eastAsia="Microsoft YaHei"/>
          <w:b w:val="0"/>
          <w:color w:val="1F2937"/>
          <w:sz w:val="22"/>
        </w:rPr>
        <w:t>商业化前仍需完成三项独立工作：</w:t>
      </w:r>
    </w:p>
    <w:p>
      <w:pPr>
        <w:pStyle w:val="ListBullet"/>
        <w:keepLines/>
      </w:pPr>
      <w:r>
        <w:rPr>
          <w:rFonts w:ascii="Calibri" w:hAnsi="Calibri" w:eastAsia="Microsoft YaHei"/>
          <w:b w:val="0"/>
          <w:color w:val="1F2937"/>
          <w:sz w:val="22"/>
        </w:rPr>
        <w:t>对 Python、Node/Electron、模型 SDK、OCR、字体、文档解析和数据库依赖做完整 SBOM 与许可证扫描；</w:t>
      </w:r>
    </w:p>
    <w:p>
      <w:pPr>
        <w:pStyle w:val="ListBullet"/>
        <w:keepLines/>
      </w:pPr>
      <w:r>
        <w:rPr>
          <w:rFonts w:ascii="Calibri" w:hAnsi="Calibri" w:eastAsia="Microsoft YaHei"/>
          <w:b w:val="0"/>
          <w:color w:val="1F2937"/>
          <w:sz w:val="22"/>
        </w:rPr>
        <w:t>对法律数据库、案例、模板、客户历史文书和模型训练/评测语料分别取得授权，不能把开源代码许可误当作数据许可；</w:t>
      </w:r>
    </w:p>
    <w:p>
      <w:pPr>
        <w:pStyle w:val="ListBullet"/>
        <w:keepLines/>
      </w:pPr>
      <w:r>
        <w:rPr>
          <w:rFonts w:ascii="Calibri" w:hAnsi="Calibri" w:eastAsia="Microsoft YaHei"/>
          <w:b w:val="0"/>
          <w:color w:val="1F2937"/>
          <w:sz w:val="22"/>
        </w:rPr>
        <w:t>对品牌、商标、产品名称和上游贡献者署名制定发行规则。</w:t>
      </w:r>
    </w:p>
    <w:p>
      <w:pPr>
        <w:pStyle w:val="Heading2"/>
        <w:keepNext/>
        <w:keepLines/>
      </w:pPr>
      <w:r>
        <w:rPr>
          <w:rFonts w:ascii="Calibri" w:hAnsi="Calibri" w:eastAsia="Microsoft YaHei"/>
          <w:b/>
          <w:color w:val="1F4E79"/>
          <w:sz w:val="26"/>
        </w:rPr>
        <w:t>2.2 当前代码资产的商业价值</w:t>
      </w:r>
    </w:p>
    <w:p>
      <w:r>
        <w:rPr>
          <w:rFonts w:ascii="Calibri" w:hAnsi="Calibri" w:eastAsia="Microsoft YaHei"/>
          <w:b w:val="0"/>
          <w:color w:val="1F2937"/>
          <w:sz w:val="22"/>
        </w:rPr>
        <w:t>Hermes 已经提供一个相当成熟的“智能体操作系统”底座：同一核心可运行在 CLI、消息网关、TUI 和 Electron 桌面端；支持跨模型供应商、长会话、记忆、插件/MCP、审批、子智能体、定时任务、浏览器和终端工具。这些能力显著缩短原型周期，尤其适合构建“法律任务编排层”。</w:t>
      </w:r>
    </w:p>
    <w:p>
      <w:r>
        <w:rPr>
          <w:rFonts w:ascii="Calibri" w:hAnsi="Calibri" w:eastAsia="Microsoft YaHei"/>
          <w:b w:val="0"/>
          <w:color w:val="1F2937"/>
          <w:sz w:val="22"/>
        </w:rPr>
        <w:t>值得直接复用或抽取的能力：</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98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现有能力</w:t>
            </w:r>
          </w:p>
        </w:tc>
        <w:tc>
          <w:tcPr>
            <w:tcW w:type="dxa" w:w="317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代码事实</w:t>
            </w:r>
          </w:p>
        </w:tc>
        <w:tc>
          <w:tcPr>
            <w:tcW w:type="dxa" w:w="317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商业化处理</w:t>
            </w:r>
          </w:p>
        </w:tc>
        <w:tc>
          <w:tcPr>
            <w:tcW w:type="dxa" w:w="103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复用判断</w:t>
            </w:r>
          </w:p>
        </w:tc>
      </w:tr>
      <w:tr>
        <w:trPr>
          <w:cantSplit/>
        </w:trPr>
        <w:tc>
          <w:tcPr>
            <w:tcW w:type="dxa" w:w="19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会话循环与提示缓存</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长会话、严格角色交替、缓存稳定性已有系统设计</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保持为智能体内核，不把案件动态权限塞进系统提示词</w:t>
            </w:r>
          </w:p>
        </w:tc>
        <w:tc>
          <w:tcPr>
            <w:tcW w:type="dxa" w:w="1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高复用</w:t>
            </w:r>
          </w:p>
        </w:tc>
      </w:tr>
      <w:tr>
        <w:trPr>
          <w:cantSplit/>
        </w:trPr>
        <w:tc>
          <w:tcPr>
            <w:tcW w:type="dxa" w:w="19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多模型/供应商适配</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统一 Agent 接口与多种 API 模式</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外置为“模型网关”，增加中国区域、留存、训练和跨境策略</w:t>
            </w:r>
          </w:p>
        </w:tc>
        <w:tc>
          <w:tcPr>
            <w:tcW w:type="dxa" w:w="1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高复用</w:t>
            </w:r>
          </w:p>
        </w:tc>
      </w:tr>
      <w:tr>
        <w:trPr>
          <w:cantSplit/>
        </w:trPr>
        <w:tc>
          <w:tcPr>
            <w:tcW w:type="dxa" w:w="19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子智能体委派</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子任务隔离、独立任务 ID、继承并裁剪工具集、默认不递归</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改为法律角色卡、案件作用域和显式输入/输出契约</w:t>
            </w:r>
          </w:p>
        </w:tc>
        <w:tc>
          <w:tcPr>
            <w:tcW w:type="dxa" w:w="1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高复用</w:t>
            </w:r>
          </w:p>
        </w:tc>
      </w:tr>
      <w:tr>
        <w:trPr>
          <w:cantSplit/>
        </w:trPr>
        <w:tc>
          <w:tcPr>
            <w:tcW w:type="dxa" w:w="19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 xml:space="preserve">工具注册与 </w:t>
            </w:r>
            <w:r>
              <w:rPr>
                <w:rFonts w:ascii="Consolas" w:hAnsi="Consolas" w:eastAsia="Consolas"/>
                <w:color w:val="17365D"/>
                <w:sz w:val="17"/>
                <w:shd w:fill="F4F6F9"/>
              </w:rPr>
              <w:t>check_fn</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工具可按服务条件隐藏，插件覆盖需显式授权</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用于案件角色工具白名单和服务能力门控</w:t>
            </w:r>
          </w:p>
        </w:tc>
        <w:tc>
          <w:tcPr>
            <w:tcW w:type="dxa" w:w="1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高复用</w:t>
            </w:r>
          </w:p>
        </w:tc>
      </w:tr>
      <w:tr>
        <w:trPr>
          <w:cantSplit/>
        </w:trPr>
        <w:tc>
          <w:tcPr>
            <w:tcW w:type="dxa" w:w="19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审批机制</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危险命令识别、人工审批、桌面端审批交互</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升级为法律动作审批；生产版移除 YOLO/关闭审批选项</w:t>
            </w:r>
          </w:p>
        </w:tc>
        <w:tc>
          <w:tcPr>
            <w:tcW w:type="dxa" w:w="1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中高复用</w:t>
            </w:r>
          </w:p>
        </w:tc>
      </w:tr>
      <w:tr>
        <w:trPr>
          <w:cantSplit/>
        </w:trPr>
        <w:tc>
          <w:tcPr>
            <w:tcW w:type="dxa" w:w="19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Electron 桌面安全基线</w:t>
            </w:r>
          </w:p>
        </w:tc>
        <w:tc>
          <w:tcPr>
            <w:tcW w:type="dxa" w:w="3173"/>
            <w:vAlign w:val="center"/>
            <w:tcMar>
              <w:top w:w="80" w:type="dxa"/>
              <w:start w:w="120" w:type="dxa"/>
              <w:bottom w:w="80" w:type="dxa"/>
              <w:end w:w="120" w:type="dxa"/>
            </w:tcMar>
            <w:shd w:fill="F4F6F9"/>
          </w:tcPr>
          <w:p>
            <w:pPr>
              <w:spacing w:after="0" w:line="252" w:lineRule="auto"/>
              <w:jc w:val="left"/>
            </w:pPr>
            <w:r>
              <w:rPr>
                <w:rFonts w:ascii="Consolas" w:hAnsi="Consolas" w:eastAsia="Consolas"/>
                <w:color w:val="17365D"/>
                <w:sz w:val="17"/>
                <w:shd w:fill="F4F6F9"/>
              </w:rPr>
              <w:t>contextIsolation=true</w:t>
            </w:r>
            <w:r>
              <w:rPr>
                <w:rFonts w:ascii="Calibri" w:hAnsi="Calibri" w:eastAsia="Microsoft YaHei"/>
                <w:b w:val="0"/>
                <w:color w:val="1F2937"/>
                <w:sz w:val="17"/>
              </w:rPr>
              <w:t>、</w:t>
            </w:r>
            <w:r>
              <w:rPr>
                <w:rFonts w:ascii="Consolas" w:hAnsi="Consolas" w:eastAsia="Consolas"/>
                <w:color w:val="17365D"/>
                <w:sz w:val="17"/>
                <w:shd w:fill="F4F6F9"/>
              </w:rPr>
              <w:t>nodeIntegration=false</w:t>
            </w:r>
            <w:r>
              <w:rPr>
                <w:rFonts w:ascii="Calibri" w:hAnsi="Calibri" w:eastAsia="Microsoft YaHei"/>
                <w:b w:val="0"/>
                <w:color w:val="1F2937"/>
                <w:sz w:val="17"/>
              </w:rPr>
              <w:t>、</w:t>
            </w:r>
            <w:r>
              <w:rPr>
                <w:rFonts w:ascii="Consolas" w:hAnsi="Consolas" w:eastAsia="Consolas"/>
                <w:color w:val="17365D"/>
                <w:sz w:val="17"/>
                <w:shd w:fill="F4F6F9"/>
              </w:rPr>
              <w:t>sandbox=true</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作为案件工作台外壳，重做信息架构</w:t>
            </w:r>
          </w:p>
        </w:tc>
        <w:tc>
          <w:tcPr>
            <w:tcW w:type="dxa" w:w="1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高复用</w:t>
            </w:r>
          </w:p>
        </w:tc>
      </w:tr>
      <w:tr>
        <w:trPr>
          <w:cantSplit/>
        </w:trPr>
        <w:tc>
          <w:tcPr>
            <w:tcW w:type="dxa" w:w="19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插件/MCP</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支持边缘能力扩展，符合“窄核心”理念</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仅允许签名、审核、固定版本的连接器；高风险插件进隔离进程</w:t>
            </w:r>
          </w:p>
        </w:tc>
        <w:tc>
          <w:tcPr>
            <w:tcW w:type="dxa" w:w="1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中高复用</w:t>
            </w:r>
          </w:p>
        </w:tc>
      </w:tr>
      <w:tr>
        <w:trPr>
          <w:cantSplit/>
        </w:trPr>
        <w:tc>
          <w:tcPr>
            <w:tcW w:type="dxa" w:w="19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SessionDB 与 FTS</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SQLite、消息谱系、全文检索、压缩与恢复</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只保留会话用途；不得充当正式案件证据库</w:t>
            </w:r>
          </w:p>
        </w:tc>
        <w:tc>
          <w:tcPr>
            <w:tcW w:type="dxa" w:w="1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有限复用</w:t>
            </w:r>
          </w:p>
        </w:tc>
      </w:tr>
      <w:tr>
        <w:trPr>
          <w:cantSplit/>
        </w:trPr>
        <w:tc>
          <w:tcPr>
            <w:tcW w:type="dxa" w:w="19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文件读取/文档提取</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可解析常见文件、PDF 附件和 Office 文档</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用作原型；重建法律级摄取、OCR、坐标和保全链</w:t>
            </w:r>
          </w:p>
        </w:tc>
        <w:tc>
          <w:tcPr>
            <w:tcW w:type="dxa" w:w="1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有限复用</w:t>
            </w:r>
          </w:p>
        </w:tc>
      </w:tr>
      <w:tr>
        <w:trPr>
          <w:cantSplit/>
        </w:trPr>
        <w:tc>
          <w:tcPr>
            <w:tcW w:type="dxa" w:w="19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消息平台网关</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支持多渠道接入</w:t>
            </w:r>
          </w:p>
        </w:tc>
        <w:tc>
          <w:tcPr>
            <w:tcW w:type="dxa" w:w="317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MVP 关闭真实案件材料经普通聊天平台流入</w:t>
            </w:r>
          </w:p>
        </w:tc>
        <w:tc>
          <w:tcPr>
            <w:tcW w:type="dxa" w:w="1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暂缓</w:t>
            </w:r>
          </w:p>
        </w:tc>
      </w:tr>
      <w:tr>
        <w:trPr>
          <w:cantSplit/>
        </w:trPr>
        <w:tc>
          <w:tcPr>
            <w:tcW w:type="dxa" w:w="19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通用终端/浏览器/计算机控制</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通用能力很强</w:t>
            </w:r>
          </w:p>
        </w:tc>
        <w:tc>
          <w:tcPr>
            <w:tcW w:type="dxa" w:w="317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生产案件智能体默认禁用，研究连接器单独沙箱化</w:t>
            </w:r>
          </w:p>
        </w:tc>
        <w:tc>
          <w:tcPr>
            <w:tcW w:type="dxa" w:w="1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不直接复用</w:t>
            </w:r>
          </w:p>
        </w:tc>
      </w:tr>
    </w:tbl>
    <w:p>
      <w:pPr>
        <w:spacing w:after="0"/>
      </w:pPr>
    </w:p>
    <w:p>
      <w:pPr>
        <w:pStyle w:val="Heading2"/>
        <w:keepNext/>
        <w:keepLines/>
      </w:pPr>
      <w:r>
        <w:rPr>
          <w:rFonts w:ascii="Calibri" w:hAnsi="Calibri" w:eastAsia="Microsoft YaHei"/>
          <w:b/>
          <w:color w:val="1F4E79"/>
          <w:sz w:val="26"/>
        </w:rPr>
        <w:t>2.3 关键代码审计发现</w:t>
      </w:r>
    </w:p>
    <w:p>
      <w:pPr>
        <w:pStyle w:val="Heading3"/>
        <w:keepNext/>
        <w:keepLines/>
      </w:pPr>
      <w:r>
        <w:rPr>
          <w:rFonts w:ascii="Calibri" w:hAnsi="Calibri" w:eastAsia="Microsoft YaHei"/>
          <w:b/>
          <w:color w:val="17365D"/>
          <w:sz w:val="24"/>
        </w:rPr>
        <w:t>2.3.1 当前“文件安全”不是安全边界</w:t>
      </w:r>
    </w:p>
    <w:p>
      <w:r>
        <w:rPr>
          <w:rFonts w:ascii="Consolas" w:hAnsi="Consolas" w:eastAsia="Consolas"/>
          <w:color w:val="17365D"/>
          <w:sz w:val="20"/>
          <w:shd w:fill="F4F6F9"/>
        </w:rPr>
        <w:t>agent/file_safety.py</w:t>
      </w:r>
      <w:r>
        <w:rPr>
          <w:rFonts w:ascii="Calibri" w:hAnsi="Calibri" w:eastAsia="Microsoft YaHei"/>
          <w:b w:val="0"/>
          <w:color w:val="1F2937"/>
          <w:sz w:val="22"/>
        </w:rPr>
        <w:t xml:space="preserve"> 的注释明确说明，其读写保护是降低误操作的纵深防御，并非安全边界；同一 OS 用户下的终端仍可能绕过限制。这一设计对个人智能体合理，但不满足律师客户对案件隔离、保密和最小权限的要求。</w:t>
      </w:r>
    </w:p>
    <w:p>
      <w:r>
        <w:rPr>
          <w:rFonts w:ascii="Calibri" w:hAnsi="Calibri" w:eastAsia="Microsoft YaHei"/>
          <w:b/>
          <w:color w:val="1F2937"/>
          <w:sz w:val="22"/>
        </w:rPr>
        <w:t>商业化要求：</w:t>
      </w:r>
      <w:r>
        <w:rPr>
          <w:rFonts w:ascii="Calibri" w:hAnsi="Calibri" w:eastAsia="Microsoft YaHei"/>
          <w:b w:val="0"/>
          <w:color w:val="1F2937"/>
          <w:sz w:val="22"/>
        </w:rPr>
        <w:t xml:space="preserve"> 每个生产任务在容器或微虚拟机内运行，挂载只读或最小可写的案件视图；禁用宿主机通用终端；网络出口按域名、协议和任务策略控制；临时目录随任务销毁。</w:t>
      </w:r>
    </w:p>
    <w:p>
      <w:pPr>
        <w:pStyle w:val="Heading3"/>
        <w:keepNext/>
        <w:keepLines/>
      </w:pPr>
      <w:r>
        <w:rPr>
          <w:rFonts w:ascii="Calibri" w:hAnsi="Calibri" w:eastAsia="Microsoft YaHei"/>
          <w:b/>
          <w:color w:val="17365D"/>
          <w:sz w:val="24"/>
        </w:rPr>
        <w:t>2.3.2 会话数据库不是案件库</w:t>
      </w:r>
    </w:p>
    <w:p>
      <w:r>
        <w:rPr>
          <w:rFonts w:ascii="Calibri" w:hAnsi="Calibri" w:eastAsia="Microsoft YaHei"/>
          <w:b w:val="0"/>
          <w:color w:val="1F2937"/>
          <w:sz w:val="22"/>
        </w:rPr>
        <w:t>当前 SessionDB 以 SQLite 保存消息正文、工具调用、推理字段和显示元数据，未发现数据库级透明加密或 SQLCipher 密钥机制。它适合个人会话恢复和全文搜索，不适合直接存放多租户案件原件、证据保全记录或高度敏感个人信息。</w:t>
      </w:r>
    </w:p>
    <w:p>
      <w:r>
        <w:rPr>
          <w:rFonts w:ascii="Calibri" w:hAnsi="Calibri" w:eastAsia="Microsoft YaHei"/>
          <w:b/>
          <w:color w:val="1F2937"/>
          <w:sz w:val="22"/>
        </w:rPr>
        <w:t>商业化要求：</w:t>
      </w:r>
      <w:r>
        <w:rPr>
          <w:rFonts w:ascii="Calibri" w:hAnsi="Calibri" w:eastAsia="Microsoft YaHei"/>
          <w:b w:val="0"/>
          <w:color w:val="1F2937"/>
          <w:sz w:val="22"/>
        </w:rPr>
        <w:t xml:space="preserve"> 新建案件数据平面；原件、派生文本、索引、工作成果和审计分别存储；使用租户/案件密钥、对象级权限、不可变原件和独立备份恢复策略。</w:t>
      </w:r>
    </w:p>
    <w:p>
      <w:pPr>
        <w:pStyle w:val="Heading3"/>
        <w:keepNext/>
        <w:keepLines/>
      </w:pPr>
      <w:r>
        <w:rPr>
          <w:rFonts w:ascii="Calibri" w:hAnsi="Calibri" w:eastAsia="Microsoft YaHei"/>
          <w:b/>
          <w:color w:val="17365D"/>
          <w:sz w:val="24"/>
        </w:rPr>
        <w:t>2.3.3 通用工具面过宽</w:t>
      </w:r>
    </w:p>
    <w:p>
      <w:r>
        <w:rPr>
          <w:rFonts w:ascii="Consolas" w:hAnsi="Consolas" w:eastAsia="Consolas"/>
          <w:color w:val="17365D"/>
          <w:sz w:val="20"/>
          <w:shd w:fill="F4F6F9"/>
        </w:rPr>
        <w:t>_HERMES_CORE_TOOLS</w:t>
      </w:r>
      <w:r>
        <w:rPr>
          <w:rFonts w:ascii="Calibri" w:hAnsi="Calibri" w:eastAsia="Microsoft YaHei"/>
          <w:b w:val="0"/>
          <w:color w:val="1F2937"/>
          <w:sz w:val="22"/>
        </w:rPr>
        <w:t xml:space="preserve"> 包含终端、进程、文件写入、浏览器、代码执行、子智能体、定时任务等广泛能力。即使具备审批，法律场景也不能让每个角色默认看到全部工具，否则文档提示注入、误操作或模型越权可能转化为真实外部动作。</w:t>
      </w:r>
    </w:p>
    <w:p>
      <w:r>
        <w:rPr>
          <w:rFonts w:ascii="Calibri" w:hAnsi="Calibri" w:eastAsia="Microsoft YaHei"/>
          <w:b/>
          <w:color w:val="1F2937"/>
          <w:sz w:val="22"/>
        </w:rPr>
        <w:t>商业化要求：</w:t>
      </w:r>
      <w:r>
        <w:rPr>
          <w:rFonts w:ascii="Calibri" w:hAnsi="Calibri" w:eastAsia="Microsoft YaHei"/>
          <w:b w:val="0"/>
          <w:color w:val="1F2937"/>
          <w:sz w:val="22"/>
        </w:rPr>
        <w:t xml:space="preserve"> 将工具选择从“平台默认”改为 </w:t>
      </w:r>
      <w:r>
        <w:rPr>
          <w:rFonts w:ascii="Consolas" w:hAnsi="Consolas" w:eastAsia="Consolas"/>
          <w:color w:val="17365D"/>
          <w:sz w:val="20"/>
          <w:shd w:fill="F4F6F9"/>
        </w:rPr>
        <w:t>租户策略 ∩ 案件策略 ∩ 角色卡 ∩ 当前任务 ∩ 用户授权</w:t>
      </w:r>
      <w:r>
        <w:rPr>
          <w:rFonts w:ascii="Calibri" w:hAnsi="Calibri" w:eastAsia="Microsoft YaHei"/>
          <w:b w:val="0"/>
          <w:color w:val="1F2937"/>
          <w:sz w:val="22"/>
        </w:rPr>
        <w:t xml:space="preserve"> 的交集；默认拒绝；智能体只能调用业务语义工具，如“读取案件页”“创建待审时间线条目”“查询已授权法源”，而不是自由 Shell。</w:t>
      </w:r>
    </w:p>
    <w:p>
      <w:pPr>
        <w:pStyle w:val="Heading3"/>
        <w:keepNext/>
        <w:keepLines/>
      </w:pPr>
      <w:r>
        <w:rPr>
          <w:rFonts w:ascii="Calibri" w:hAnsi="Calibri" w:eastAsia="Microsoft YaHei"/>
          <w:b/>
          <w:color w:val="17365D"/>
          <w:sz w:val="24"/>
        </w:rPr>
        <w:t>2.3.4 存在不适合生产法律环境的绕过模式</w:t>
      </w:r>
    </w:p>
    <w:p>
      <w:r>
        <w:rPr>
          <w:rFonts w:ascii="Calibri" w:hAnsi="Calibri" w:eastAsia="Microsoft YaHei"/>
          <w:b w:val="0"/>
          <w:color w:val="1F2937"/>
          <w:sz w:val="22"/>
        </w:rPr>
        <w:t xml:space="preserve">当前审批系统支持 </w:t>
      </w:r>
      <w:r>
        <w:rPr>
          <w:rFonts w:ascii="Consolas" w:hAnsi="Consolas" w:eastAsia="Consolas"/>
          <w:color w:val="17365D"/>
          <w:sz w:val="20"/>
          <w:shd w:fill="F4F6F9"/>
        </w:rPr>
        <w:t>--yolo</w:t>
      </w:r>
      <w:r>
        <w:rPr>
          <w:rFonts w:ascii="Calibri" w:hAnsi="Calibri" w:eastAsia="Microsoft YaHei"/>
          <w:b w:val="0"/>
          <w:color w:val="1F2937"/>
          <w:sz w:val="22"/>
        </w:rPr>
        <w:t xml:space="preserve">、会话级 YOLO 和 </w:t>
      </w:r>
      <w:r>
        <w:rPr>
          <w:rFonts w:ascii="Consolas" w:hAnsi="Consolas" w:eastAsia="Consolas"/>
          <w:color w:val="17365D"/>
          <w:sz w:val="20"/>
          <w:shd w:fill="F4F6F9"/>
        </w:rPr>
        <w:t>approval_mode=off</w:t>
      </w:r>
      <w:r>
        <w:rPr>
          <w:rFonts w:ascii="Calibri" w:hAnsi="Calibri" w:eastAsia="Microsoft YaHei"/>
          <w:b w:val="0"/>
          <w:color w:val="1F2937"/>
          <w:sz w:val="22"/>
        </w:rPr>
        <w:t>；子智能体也存在显式配置后的自动批准路径。这些是个人代理产品的效率功能，却会破坏法律工作流的责任门槛。</w:t>
      </w:r>
    </w:p>
    <w:p>
      <w:r>
        <w:rPr>
          <w:rFonts w:ascii="Calibri" w:hAnsi="Calibri" w:eastAsia="Microsoft YaHei"/>
          <w:b/>
          <w:color w:val="1F2937"/>
          <w:sz w:val="22"/>
        </w:rPr>
        <w:t>商业化要求：</w:t>
      </w:r>
      <w:r>
        <w:rPr>
          <w:rFonts w:ascii="Calibri" w:hAnsi="Calibri" w:eastAsia="Microsoft YaHei"/>
          <w:b w:val="0"/>
          <w:color w:val="1F2937"/>
          <w:sz w:val="22"/>
        </w:rPr>
        <w:t xml:space="preserve"> 法律生产发行版在构建和服务端双重禁止 YOLO；外发、删除、跨案件检索、连接外部系统、改变保留策略等高风险动作必须使用不可绕过审批，部分动作要求双人复核。</w:t>
      </w:r>
    </w:p>
    <w:p>
      <w:pPr>
        <w:pStyle w:val="Heading3"/>
        <w:keepNext/>
        <w:keepLines/>
      </w:pPr>
      <w:r>
        <w:rPr>
          <w:rFonts w:ascii="Calibri" w:hAnsi="Calibri" w:eastAsia="Microsoft YaHei"/>
          <w:b/>
          <w:color w:val="17365D"/>
          <w:sz w:val="24"/>
        </w:rPr>
        <w:t>2.3.5 插件是受信任代码，不是沙箱</w:t>
      </w:r>
    </w:p>
    <w:p>
      <w:r>
        <w:rPr>
          <w:rFonts w:ascii="Calibri" w:hAnsi="Calibri" w:eastAsia="Microsoft YaHei"/>
          <w:b w:val="0"/>
          <w:color w:val="1F2937"/>
          <w:sz w:val="22"/>
        </w:rPr>
        <w:t xml:space="preserve">Hermes 插件加载器会在主进程导入插件并执行 </w:t>
      </w:r>
      <w:r>
        <w:rPr>
          <w:rFonts w:ascii="Consolas" w:hAnsi="Consolas" w:eastAsia="Consolas"/>
          <w:color w:val="17365D"/>
          <w:sz w:val="20"/>
          <w:shd w:fill="F4F6F9"/>
        </w:rPr>
        <w:t>register(ctx)</w:t>
      </w:r>
      <w:r>
        <w:rPr>
          <w:rFonts w:ascii="Calibri" w:hAnsi="Calibri" w:eastAsia="Microsoft YaHei"/>
          <w:b w:val="0"/>
          <w:color w:val="1F2937"/>
          <w:sz w:val="22"/>
        </w:rPr>
        <w:t>；用户、项目或 pip 插件可以扩展能力，特定条件下还能覆盖工具。这符合开发者产品定位，但在律所环境中等同于执行第三方代码。</w:t>
      </w:r>
    </w:p>
    <w:p>
      <w:r>
        <w:rPr>
          <w:rFonts w:ascii="Calibri" w:hAnsi="Calibri" w:eastAsia="Microsoft YaHei"/>
          <w:b/>
          <w:color w:val="1F2937"/>
          <w:sz w:val="22"/>
        </w:rPr>
        <w:t>商业化要求：</w:t>
      </w:r>
      <w:r>
        <w:rPr>
          <w:rFonts w:ascii="Calibri" w:hAnsi="Calibri" w:eastAsia="Microsoft YaHei"/>
          <w:b w:val="0"/>
          <w:color w:val="1F2937"/>
          <w:sz w:val="22"/>
        </w:rPr>
        <w:t xml:space="preserve"> 生产环境默认关闭项目/用户/pip 插件；只开放签名、上架审核、版本锁定的连接器；连接器使用独立身份、最小 OAuth 范围和单独进程；插件升级必须重新做数据流与权限审查。</w:t>
      </w:r>
    </w:p>
    <w:p>
      <w:pPr>
        <w:pStyle w:val="Heading3"/>
        <w:keepNext/>
        <w:keepLines/>
      </w:pPr>
      <w:r>
        <w:rPr>
          <w:rFonts w:ascii="Calibri" w:hAnsi="Calibri" w:eastAsia="Microsoft YaHei"/>
          <w:b/>
          <w:color w:val="17365D"/>
          <w:sz w:val="24"/>
        </w:rPr>
        <w:t>2.3.6 现有记忆不具备案件伦理墙</w:t>
      </w:r>
    </w:p>
    <w:p>
      <w:r>
        <w:rPr>
          <w:rFonts w:ascii="Calibri" w:hAnsi="Calibri" w:eastAsia="Microsoft YaHei"/>
          <w:b w:val="0"/>
          <w:color w:val="1F2937"/>
          <w:sz w:val="22"/>
        </w:rPr>
        <w:t>文件型长期记忆和外部记忆提供者面向个人跨会话学习，不天然理解客户、案件、利益冲突或删除/法律保留要求。</w:t>
      </w:r>
    </w:p>
    <w:p>
      <w:r>
        <w:rPr>
          <w:rFonts w:ascii="Calibri" w:hAnsi="Calibri" w:eastAsia="Microsoft YaHei"/>
          <w:b/>
          <w:color w:val="1F2937"/>
          <w:sz w:val="22"/>
        </w:rPr>
        <w:t>商业化要求：</w:t>
      </w:r>
      <w:r>
        <w:rPr>
          <w:rFonts w:ascii="Calibri" w:hAnsi="Calibri" w:eastAsia="Microsoft YaHei"/>
          <w:b w:val="0"/>
          <w:color w:val="1F2937"/>
          <w:sz w:val="22"/>
        </w:rPr>
        <w:t xml:space="preserve"> 默认不把案件内容写入个人长期记忆；知识分为“公开法源”“律所批准知识”“客户知识”“案件私有事实”四个域；任何跨域复用都需策略许可和来源标识。</w:t>
      </w:r>
    </w:p>
    <w:p>
      <w:pPr>
        <w:pStyle w:val="Heading3"/>
        <w:keepNext/>
        <w:keepLines/>
      </w:pPr>
      <w:r>
        <w:rPr>
          <w:rFonts w:ascii="Calibri" w:hAnsi="Calibri" w:eastAsia="Microsoft YaHei"/>
          <w:b/>
          <w:color w:val="17365D"/>
          <w:sz w:val="24"/>
        </w:rPr>
        <w:t>2.3.7 现有隐私脱敏不足</w:t>
      </w:r>
    </w:p>
    <w:p>
      <w:r>
        <w:rPr>
          <w:rFonts w:ascii="Calibri" w:hAnsi="Calibri" w:eastAsia="Microsoft YaHei"/>
          <w:b w:val="0"/>
          <w:color w:val="1F2937"/>
          <w:sz w:val="22"/>
        </w:rPr>
        <w:t xml:space="preserve">当前 </w:t>
      </w:r>
      <w:r>
        <w:rPr>
          <w:rFonts w:ascii="Consolas" w:hAnsi="Consolas" w:eastAsia="Consolas"/>
          <w:color w:val="17365D"/>
          <w:sz w:val="20"/>
          <w:shd w:fill="F4F6F9"/>
        </w:rPr>
        <w:t>privacy.redact_pii</w:t>
      </w:r>
      <w:r>
        <w:rPr>
          <w:rFonts w:ascii="Calibri" w:hAnsi="Calibri" w:eastAsia="Microsoft YaHei"/>
          <w:b w:val="0"/>
          <w:color w:val="1F2937"/>
          <w:sz w:val="22"/>
        </w:rPr>
        <w:t xml:space="preserve"> 默认关闭，主要处理用户 ID 和电话号码，不等同于法律材料的实体识别、敏感个人信息判断、商业秘密识别或可逆令牌化。</w:t>
      </w:r>
    </w:p>
    <w:p>
      <w:r>
        <w:rPr>
          <w:rFonts w:ascii="Calibri" w:hAnsi="Calibri" w:eastAsia="Microsoft YaHei"/>
          <w:b/>
          <w:color w:val="1F2937"/>
          <w:sz w:val="22"/>
        </w:rPr>
        <w:t>商业化要求：</w:t>
      </w:r>
      <w:r>
        <w:rPr>
          <w:rFonts w:ascii="Calibri" w:hAnsi="Calibri" w:eastAsia="Microsoft YaHei"/>
          <w:b w:val="0"/>
          <w:color w:val="1F2937"/>
          <w:sz w:val="22"/>
        </w:rPr>
        <w:t xml:space="preserve"> 建立中文法律 DLP：身份证、银行卡、联系方式、地址、医疗、财务、未成年人、特定身份、案号、公司秘密、印章和签名等分类；脱敏必须在受控本地环境执行，并保存字段级处理依据。</w:t>
      </w:r>
    </w:p>
    <w:p>
      <w:pPr>
        <w:pStyle w:val="Heading3"/>
        <w:keepNext/>
        <w:keepLines/>
      </w:pPr>
      <w:r>
        <w:rPr>
          <w:rFonts w:ascii="Calibri" w:hAnsi="Calibri" w:eastAsia="Microsoft YaHei"/>
          <w:b/>
          <w:color w:val="17365D"/>
          <w:sz w:val="24"/>
        </w:rPr>
        <w:t>2.3.8 附件处理不是证据摄取链</w:t>
      </w:r>
    </w:p>
    <w:p>
      <w:r>
        <w:rPr>
          <w:rFonts w:ascii="Calibri" w:hAnsi="Calibri" w:eastAsia="Microsoft YaHei"/>
          <w:b w:val="0"/>
          <w:color w:val="1F2937"/>
          <w:sz w:val="22"/>
        </w:rPr>
        <w:t>现有 PDF 栅格化、文件暂存和 Office 文本提取可支持对话，但没有完整的入库哈希、原件不可变存储、恶意文件沙箱、OCR 版面坐标、页码锚点、版本关系、重复件识别和导出清单。</w:t>
      </w:r>
    </w:p>
    <w:p>
      <w:r>
        <w:rPr>
          <w:rFonts w:ascii="Calibri" w:hAnsi="Calibri" w:eastAsia="Microsoft YaHei"/>
          <w:b/>
          <w:color w:val="1F2937"/>
          <w:sz w:val="22"/>
        </w:rPr>
        <w:t>商业化要求：</w:t>
      </w:r>
      <w:r>
        <w:rPr>
          <w:rFonts w:ascii="Calibri" w:hAnsi="Calibri" w:eastAsia="Microsoft YaHei"/>
          <w:b w:val="0"/>
          <w:color w:val="1F2937"/>
          <w:sz w:val="22"/>
        </w:rPr>
        <w:t xml:space="preserve"> 单独建设“证据摄取服务”，见第六章。</w:t>
      </w:r>
    </w:p>
    <w:p>
      <w:pPr>
        <w:pStyle w:val="Heading2"/>
        <w:keepNext/>
        <w:keepLines/>
      </w:pPr>
      <w:r>
        <w:rPr>
          <w:rFonts w:ascii="Calibri" w:hAnsi="Calibri" w:eastAsia="Microsoft YaHei"/>
          <w:b/>
          <w:color w:val="1F4E79"/>
          <w:sz w:val="26"/>
        </w:rPr>
        <w:t>2.4 推荐的代码演进方式</w:t>
      </w:r>
    </w:p>
    <w:p>
      <w:r>
        <w:rPr>
          <w:rFonts w:ascii="Calibri" w:hAnsi="Calibri" w:eastAsia="Microsoft YaHei"/>
          <w:b w:val="0"/>
          <w:color w:val="1F2937"/>
          <w:sz w:val="22"/>
        </w:rPr>
        <w:t>不建议直接在 Hermes 核心中堆叠法律功能。遵循项目自身“窄核心、边缘扩展”的设计哲学，采用三层结构：</w:t>
      </w:r>
    </w:p>
    <w:p>
      <w:pPr>
        <w:pStyle w:val="ListNumber"/>
        <w:numPr>
          <w:ilvl w:val="0"/>
          <w:numId w:val="12"/>
        </w:numPr>
        <w:keepLines/>
      </w:pPr>
      <w:r>
        <w:rPr>
          <w:rFonts w:ascii="Calibri" w:hAnsi="Calibri" w:eastAsia="Microsoft YaHei"/>
          <w:b/>
          <w:color w:val="1F2937"/>
          <w:sz w:val="22"/>
        </w:rPr>
        <w:t>Hermes Core Fork/Package</w:t>
      </w:r>
      <w:r>
        <w:rPr>
          <w:rFonts w:ascii="Calibri" w:hAnsi="Calibri" w:eastAsia="Microsoft YaHei"/>
          <w:b w:val="0"/>
          <w:color w:val="1F2937"/>
          <w:sz w:val="22"/>
        </w:rPr>
        <w:t>：保留编排循环、供应商适配、缓存、批准与子智能体框架，持续跟踪上游安全修复。</w:t>
      </w:r>
    </w:p>
    <w:p>
      <w:pPr>
        <w:pStyle w:val="ListNumber"/>
        <w:numPr>
          <w:ilvl w:val="0"/>
          <w:numId w:val="12"/>
        </w:numPr>
        <w:keepLines/>
      </w:pPr>
      <w:r>
        <w:rPr>
          <w:rFonts w:ascii="Calibri" w:hAnsi="Calibri" w:eastAsia="Microsoft YaHei"/>
          <w:b/>
          <w:color w:val="1F2937"/>
          <w:sz w:val="22"/>
        </w:rPr>
        <w:t>Legal Control Plane</w:t>
      </w:r>
      <w:r>
        <w:rPr>
          <w:rFonts w:ascii="Calibri" w:hAnsi="Calibri" w:eastAsia="Microsoft YaHei"/>
          <w:b w:val="0"/>
          <w:color w:val="1F2937"/>
          <w:sz w:val="22"/>
        </w:rPr>
        <w:t>：新增租户、案件、角色、策略、审计、模型路由、工作流状态机和评测门禁；这是商业产品核心。</w:t>
      </w:r>
    </w:p>
    <w:p>
      <w:pPr>
        <w:pStyle w:val="ListNumber"/>
        <w:numPr>
          <w:ilvl w:val="0"/>
          <w:numId w:val="12"/>
        </w:numPr>
        <w:keepLines/>
      </w:pPr>
      <w:r>
        <w:rPr>
          <w:rFonts w:ascii="Calibri" w:hAnsi="Calibri" w:eastAsia="Microsoft YaHei"/>
          <w:b/>
          <w:color w:val="1F2937"/>
          <w:sz w:val="22"/>
        </w:rPr>
        <w:t>Legal Domain Services</w:t>
      </w:r>
      <w:r>
        <w:rPr>
          <w:rFonts w:ascii="Calibri" w:hAnsi="Calibri" w:eastAsia="Microsoft YaHei"/>
          <w:b w:val="0"/>
          <w:color w:val="1F2937"/>
          <w:sz w:val="22"/>
        </w:rPr>
        <w:t>：证据摄取、法源检索、事实图谱、要件矩阵、文书渲染、DMS/OA 连接器，以服务门控工具、独立服务或 MCP 形式提供。</w:t>
      </w:r>
    </w:p>
    <w:p>
      <w:r>
        <w:rPr>
          <w:rFonts w:ascii="Calibri" w:hAnsi="Calibri" w:eastAsia="Microsoft YaHei"/>
          <w:b w:val="0"/>
          <w:color w:val="1F2937"/>
          <w:sz w:val="22"/>
        </w:rPr>
        <w:t>这样既避免每次上游升级发生大规模冲突，也防止法律能力增加到所有通用 Hermes 用户的常驻工具 schema 中。</w:t>
      </w:r>
    </w:p>
    <w:p>
      <w:pPr>
        <w:pStyle w:val="Heading1"/>
        <w:keepNext/>
        <w:keepLines/>
      </w:pPr>
      <w:r>
        <w:rPr>
          <w:rFonts w:ascii="Calibri" w:hAnsi="Calibri" w:eastAsia="Microsoft YaHei"/>
          <w:b/>
          <w:color w:val="1F4E79"/>
          <w:sz w:val="32"/>
        </w:rPr>
        <w:t>三、市场与客户：从谁的哪一项工作切入</w:t>
      </w:r>
    </w:p>
    <w:p>
      <w:pPr>
        <w:pStyle w:val="Heading2"/>
        <w:keepNext/>
        <w:keepLines/>
      </w:pPr>
      <w:r>
        <w:rPr>
          <w:rFonts w:ascii="Calibri" w:hAnsi="Calibri" w:eastAsia="Microsoft YaHei"/>
          <w:b/>
          <w:color w:val="1F4E79"/>
          <w:sz w:val="26"/>
        </w:rPr>
        <w:t>3.1 市场不是“所有需要法律帮助的人”</w:t>
      </w:r>
    </w:p>
    <w:p>
      <w:r>
        <w:rPr>
          <w:rFonts w:ascii="Calibri" w:hAnsi="Calibri" w:eastAsia="Microsoft YaHei"/>
          <w:b w:val="0"/>
          <w:color w:val="1F2937"/>
          <w:sz w:val="22"/>
        </w:rPr>
        <w:t>市场应按责任主体和采购能力拆分：</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872"/>
        <w:gridCol w:w="1872"/>
        <w:gridCol w:w="1872"/>
        <w:gridCol w:w="1872"/>
        <w:gridCol w:w="1872"/>
      </w:tblGrid>
      <w:tr>
        <w:trPr>
          <w:cantSplit/>
          <w:tblHeader w:val="true"/>
        </w:trPr>
        <w:tc>
          <w:tcPr>
            <w:tcW w:type="dxa" w:w="206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客群</w:t>
            </w:r>
          </w:p>
        </w:tc>
        <w:tc>
          <w:tcPr>
            <w:tcW w:type="dxa" w:w="267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核心痛点</w:t>
            </w:r>
          </w:p>
        </w:tc>
        <w:tc>
          <w:tcPr>
            <w:tcW w:type="dxa" w:w="158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付费者</w:t>
            </w:r>
          </w:p>
        </w:tc>
        <w:tc>
          <w:tcPr>
            <w:tcW w:type="dxa" w:w="206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风险/难点</w:t>
            </w:r>
          </w:p>
        </w:tc>
        <w:tc>
          <w:tcPr>
            <w:tcW w:type="dxa" w:w="97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优先级</w:t>
            </w:r>
          </w:p>
        </w:tc>
      </w:tr>
      <w:tr>
        <w:trPr>
          <w:cantSplit/>
        </w:trPr>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20—200 人律所的争议解决团队</w:t>
            </w:r>
          </w:p>
        </w:tc>
        <w:tc>
          <w:tcPr>
            <w:tcW w:type="dxa" w:w="267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卷宗多、协作乱、初级律师重复劳动、质量不一致</w:t>
            </w:r>
          </w:p>
        </w:tc>
        <w:tc>
          <w:tcPr>
            <w:tcW w:type="dxa" w:w="1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主任/合伙人/部门负责人</w:t>
            </w:r>
          </w:p>
        </w:tc>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决策分散、工作习惯强</w:t>
            </w:r>
          </w:p>
        </w:tc>
        <w:tc>
          <w:tcPr>
            <w:tcW w:type="dxa" w:w="972"/>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第一优先</w:t>
            </w:r>
          </w:p>
        </w:tc>
      </w:tr>
      <w:tr>
        <w:trPr>
          <w:cantSplit/>
        </w:trPr>
        <w:tc>
          <w:tcPr>
            <w:tcW w:type="dxa" w:w="2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10—50 人精品诉讼所</w:t>
            </w:r>
          </w:p>
        </w:tc>
        <w:tc>
          <w:tcPr>
            <w:tcW w:type="dxa" w:w="267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人手少、案件密度高、合伙人复核负担重</w:t>
            </w:r>
          </w:p>
        </w:tc>
        <w:tc>
          <w:tcPr>
            <w:tcW w:type="dxa" w:w="15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主任/创始合伙人</w:t>
            </w:r>
          </w:p>
        </w:tc>
        <w:tc>
          <w:tcPr>
            <w:tcW w:type="dxa" w:w="2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预算敏感</w:t>
            </w:r>
          </w:p>
        </w:tc>
        <w:tc>
          <w:tcPr>
            <w:tcW w:type="dxa" w:w="97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第一优先的轻量版</w:t>
            </w:r>
          </w:p>
        </w:tc>
      </w:tr>
      <w:tr>
        <w:trPr>
          <w:cantSplit/>
        </w:trPr>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大型律所</w:t>
            </w:r>
          </w:p>
        </w:tc>
        <w:tc>
          <w:tcPr>
            <w:tcW w:type="dxa" w:w="267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数据、知识和安全要求高，跨办公室协作复杂</w:t>
            </w:r>
          </w:p>
        </w:tc>
        <w:tc>
          <w:tcPr>
            <w:tcW w:type="dxa" w:w="1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管委会/CIO/创新委员会</w:t>
            </w:r>
          </w:p>
        </w:tc>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采购周期长、集成重</w:t>
            </w:r>
          </w:p>
        </w:tc>
        <w:tc>
          <w:tcPr>
            <w:tcW w:type="dxa" w:w="97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第二优先</w:t>
            </w:r>
          </w:p>
        </w:tc>
      </w:tr>
      <w:tr>
        <w:trPr>
          <w:cantSplit/>
        </w:trPr>
        <w:tc>
          <w:tcPr>
            <w:tcW w:type="dxa" w:w="2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企业法务/合规部门</w:t>
            </w:r>
          </w:p>
        </w:tc>
        <w:tc>
          <w:tcPr>
            <w:tcW w:type="dxa" w:w="267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外部律师费高、案件台账分散、管理层汇报慢</w:t>
            </w:r>
          </w:p>
        </w:tc>
        <w:tc>
          <w:tcPr>
            <w:tcW w:type="dxa" w:w="15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总法/采购/信息安全</w:t>
            </w:r>
          </w:p>
        </w:tc>
        <w:tc>
          <w:tcPr>
            <w:tcW w:type="dxa" w:w="2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需接 OA、合同、邮件与诉讼系统</w:t>
            </w:r>
          </w:p>
        </w:tc>
        <w:tc>
          <w:tcPr>
            <w:tcW w:type="dxa" w:w="97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第二优先</w:t>
            </w:r>
          </w:p>
        </w:tc>
      </w:tr>
      <w:tr>
        <w:trPr>
          <w:cantSplit/>
        </w:trPr>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个人律师/小微所</w:t>
            </w:r>
          </w:p>
        </w:tc>
        <w:tc>
          <w:tcPr>
            <w:tcW w:type="dxa" w:w="267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对提效强烈、购买决策快</w:t>
            </w:r>
          </w:p>
        </w:tc>
        <w:tc>
          <w:tcPr>
            <w:tcW w:type="dxa" w:w="1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个人</w:t>
            </w:r>
          </w:p>
        </w:tc>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客单价和支持成本不匹配</w:t>
            </w:r>
          </w:p>
        </w:tc>
        <w:tc>
          <w:tcPr>
            <w:tcW w:type="dxa" w:w="97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后续产品化获客</w:t>
            </w:r>
          </w:p>
        </w:tc>
      </w:tr>
      <w:tr>
        <w:trPr>
          <w:cantSplit/>
        </w:trPr>
        <w:tc>
          <w:tcPr>
            <w:tcW w:type="dxa" w:w="2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公众当事人</w:t>
            </w:r>
          </w:p>
        </w:tc>
        <w:tc>
          <w:tcPr>
            <w:tcW w:type="dxa" w:w="267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信息不对称、法律服务价格高</w:t>
            </w:r>
          </w:p>
        </w:tc>
        <w:tc>
          <w:tcPr>
            <w:tcW w:type="dxa" w:w="15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个人</w:t>
            </w:r>
          </w:p>
        </w:tc>
        <w:tc>
          <w:tcPr>
            <w:tcW w:type="dxa" w:w="2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无监督建议、获客与执业边界、投诉量</w:t>
            </w:r>
          </w:p>
        </w:tc>
        <w:tc>
          <w:tcPr>
            <w:tcW w:type="dxa" w:w="97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MVP 不做</w:t>
            </w:r>
          </w:p>
        </w:tc>
      </w:tr>
      <w:tr>
        <w:trPr>
          <w:cantSplit/>
        </w:trPr>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法院/政府法律服务</w:t>
            </w:r>
          </w:p>
        </w:tc>
        <w:tc>
          <w:tcPr>
            <w:tcW w:type="dxa" w:w="267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大规模材料和公共服务需求</w:t>
            </w:r>
          </w:p>
        </w:tc>
        <w:tc>
          <w:tcPr>
            <w:tcW w:type="dxa" w:w="1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政府采购</w:t>
            </w:r>
          </w:p>
        </w:tc>
        <w:tc>
          <w:tcPr>
            <w:tcW w:type="dxa" w:w="2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信创、密码、等保、政务数据要求高</w:t>
            </w:r>
          </w:p>
        </w:tc>
        <w:tc>
          <w:tcPr>
            <w:tcW w:type="dxa" w:w="97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有能力后专项进入</w:t>
            </w:r>
          </w:p>
        </w:tc>
      </w:tr>
    </w:tbl>
    <w:p>
      <w:pPr>
        <w:spacing w:after="0"/>
      </w:pPr>
    </w:p>
    <w:p>
      <w:r>
        <w:rPr>
          <w:rFonts w:ascii="Calibri" w:hAnsi="Calibri" w:eastAsia="Microsoft YaHei"/>
          <w:b w:val="0"/>
          <w:color w:val="1F2937"/>
          <w:sz w:val="22"/>
        </w:rPr>
        <w:t>司法部公布的 2022 年数据表明，律师 10 人及以下的律所占 65.5%，11—20 人占 20.74%，21—50 人占 10.44%，51 人以上合计约 3.32%。这意味着中国律所市场高度分散：大客户客单价高但数量少，小所数量大但必须提供低部署成本的标准化产品。</w:t>
      </w:r>
      <w:hyperlink r:id="rId12">
        <w:r>
          <w:rPr>
            <w:rFonts w:ascii="Calibri" w:hAnsi="Calibri" w:eastAsia="Microsoft YaHei"/>
            <w:color w:val="1F4E79"/>
            <w:u w:val="single"/>
          </w:rPr>
          <w:t>司法部律师工作统计</w:t>
        </w:r>
      </w:hyperlink>
    </w:p>
    <w:p>
      <w:r>
        <w:rPr>
          <w:rFonts w:ascii="Calibri" w:hAnsi="Calibri" w:eastAsia="Microsoft YaHei"/>
          <w:b w:val="0"/>
          <w:color w:val="1F2937"/>
          <w:sz w:val="22"/>
        </w:rPr>
        <w:t xml:space="preserve">因此，首发不应按“整所规模”寻找客户，而应瞄准 </w:t>
      </w:r>
      <w:r>
        <w:rPr>
          <w:rFonts w:ascii="Calibri" w:hAnsi="Calibri" w:eastAsia="Microsoft YaHei"/>
          <w:b/>
          <w:color w:val="1F2937"/>
          <w:sz w:val="22"/>
        </w:rPr>
        <w:t>5—30 人、年处理 50 件以上材料密集型案件的争议解决团队</w:t>
      </w:r>
      <w:r>
        <w:rPr>
          <w:rFonts w:ascii="Calibri" w:hAnsi="Calibri" w:eastAsia="Microsoft YaHei"/>
          <w:b w:val="0"/>
          <w:color w:val="1F2937"/>
          <w:sz w:val="22"/>
        </w:rPr>
        <w:t>。团队可以位于 20 人精品所，也可以位于千人大所。</w:t>
      </w:r>
    </w:p>
    <w:p>
      <w:pPr>
        <w:pStyle w:val="Heading2"/>
        <w:keepNext/>
        <w:keepLines/>
      </w:pPr>
      <w:r>
        <w:rPr>
          <w:rFonts w:ascii="Calibri" w:hAnsi="Calibri" w:eastAsia="Microsoft YaHei"/>
          <w:b/>
          <w:color w:val="1F4E79"/>
          <w:sz w:val="26"/>
        </w:rPr>
        <w:t>3.2 首发 Jobs-to-be-Done</w:t>
      </w:r>
    </w:p>
    <w:p>
      <w:r>
        <w:rPr>
          <w:rFonts w:ascii="Calibri" w:hAnsi="Calibri" w:eastAsia="Microsoft YaHei"/>
          <w:b w:val="0"/>
          <w:color w:val="1F2937"/>
          <w:sz w:val="22"/>
        </w:rPr>
        <w:t>当一个律师团队接到数百份 PDF、微信截图、合同附件、付款凭证和往来邮件时，它真正雇佣产品完成的是：</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“在不泄露、不遗漏、不篡改的前提下，尽快把材料变成我能审核、能讨论、能引用、能交付的案件底稿，并告诉我最值得追问和补证的地方。”</w:t>
            </w:r>
          </w:p>
        </w:tc>
      </w:tr>
    </w:tbl>
    <w:p>
      <w:pPr>
        <w:spacing w:after="0"/>
      </w:pPr>
    </w:p>
    <w:p>
      <w:r>
        <w:rPr>
          <w:rFonts w:ascii="Calibri" w:hAnsi="Calibri" w:eastAsia="Microsoft YaHei"/>
          <w:b w:val="0"/>
          <w:color w:val="1F2937"/>
          <w:sz w:val="22"/>
        </w:rPr>
        <w:t>这个工作由五个连续任务构成：</w:t>
      </w:r>
    </w:p>
    <w:p>
      <w:pPr>
        <w:pStyle w:val="ListNumber"/>
        <w:numPr>
          <w:ilvl w:val="0"/>
          <w:numId w:val="13"/>
        </w:numPr>
        <w:keepLines/>
      </w:pPr>
      <w:r>
        <w:rPr>
          <w:rFonts w:ascii="Calibri" w:hAnsi="Calibri" w:eastAsia="Microsoft YaHei"/>
          <w:b w:val="0"/>
          <w:color w:val="1F2937"/>
          <w:sz w:val="22"/>
        </w:rPr>
        <w:t>知道收到了什么，哪些重复、缺页、损坏或来源不明；</w:t>
      </w:r>
    </w:p>
    <w:p>
      <w:pPr>
        <w:pStyle w:val="ListNumber"/>
        <w:numPr>
          <w:ilvl w:val="0"/>
          <w:numId w:val="13"/>
        </w:numPr>
        <w:keepLines/>
      </w:pPr>
      <w:r>
        <w:rPr>
          <w:rFonts w:ascii="Calibri" w:hAnsi="Calibri" w:eastAsia="Microsoft YaHei"/>
          <w:b w:val="0"/>
          <w:color w:val="1F2937"/>
          <w:sz w:val="22"/>
        </w:rPr>
        <w:t>知道谁在什么时间做了什么，事实之间是否矛盾；</w:t>
      </w:r>
    </w:p>
    <w:p>
      <w:pPr>
        <w:pStyle w:val="ListNumber"/>
        <w:numPr>
          <w:ilvl w:val="0"/>
          <w:numId w:val="13"/>
        </w:numPr>
        <w:keepLines/>
      </w:pPr>
      <w:r>
        <w:rPr>
          <w:rFonts w:ascii="Calibri" w:hAnsi="Calibri" w:eastAsia="Microsoft YaHei"/>
          <w:b w:val="0"/>
          <w:color w:val="1F2937"/>
          <w:sz w:val="22"/>
        </w:rPr>
        <w:t>知道每项主张需要什么法律要件和证据；</w:t>
      </w:r>
    </w:p>
    <w:p>
      <w:pPr>
        <w:pStyle w:val="ListNumber"/>
        <w:numPr>
          <w:ilvl w:val="0"/>
          <w:numId w:val="13"/>
        </w:numPr>
        <w:keepLines/>
      </w:pPr>
      <w:r>
        <w:rPr>
          <w:rFonts w:ascii="Calibri" w:hAnsi="Calibri" w:eastAsia="Microsoft YaHei"/>
          <w:b w:val="0"/>
          <w:color w:val="1F2937"/>
          <w:sz w:val="22"/>
        </w:rPr>
        <w:t>知道现有证据能支持到什么程度、缺口在哪里；</w:t>
      </w:r>
    </w:p>
    <w:p>
      <w:pPr>
        <w:pStyle w:val="ListNumber"/>
        <w:numPr>
          <w:ilvl w:val="0"/>
          <w:numId w:val="13"/>
        </w:numPr>
        <w:keepLines/>
      </w:pPr>
      <w:r>
        <w:rPr>
          <w:rFonts w:ascii="Calibri" w:hAnsi="Calibri" w:eastAsia="Microsoft YaHei"/>
          <w:b w:val="0"/>
          <w:color w:val="1F2937"/>
          <w:sz w:val="22"/>
        </w:rPr>
        <w:t>在律师确认的事实和策略上形成可复核的检索报告与文书初稿。</w:t>
      </w:r>
    </w:p>
    <w:p>
      <w:pPr>
        <w:pStyle w:val="Heading2"/>
        <w:keepNext/>
        <w:keepLines/>
      </w:pPr>
      <w:r>
        <w:rPr>
          <w:rFonts w:ascii="Calibri" w:hAnsi="Calibri" w:eastAsia="Microsoft YaHei"/>
          <w:b/>
          <w:color w:val="1F4E79"/>
          <w:sz w:val="26"/>
        </w:rPr>
        <w:t>3.3 首发案由选择</w:t>
      </w:r>
    </w:p>
    <w:p>
      <w:r>
        <w:rPr>
          <w:rFonts w:ascii="Calibri" w:hAnsi="Calibri" w:eastAsia="Microsoft YaHei"/>
          <w:b w:val="0"/>
          <w:color w:val="1F2937"/>
          <w:sz w:val="22"/>
        </w:rPr>
        <w:t>采用“材料强度、流程重复性、结果可验证性、数据风险、付款能力、法律变化速度”六维评分：</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560"/>
        <w:gridCol w:w="1560"/>
        <w:gridCol w:w="1560"/>
        <w:gridCol w:w="1560"/>
        <w:gridCol w:w="1560"/>
        <w:gridCol w:w="1560"/>
      </w:tblGrid>
      <w:tr>
        <w:trPr>
          <w:cantSplit/>
          <w:tblHeader w:val="true"/>
        </w:trPr>
        <w:tc>
          <w:tcPr>
            <w:tcW w:type="dxa" w:w="185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案由簇</w:t>
            </w:r>
          </w:p>
        </w:tc>
        <w:tc>
          <w:tcPr>
            <w:tcW w:type="dxa" w:w="131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材料强度</w:t>
            </w:r>
          </w:p>
        </w:tc>
        <w:tc>
          <w:tcPr>
            <w:tcW w:type="dxa" w:w="131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可标准化</w:t>
            </w:r>
          </w:p>
        </w:tc>
        <w:tc>
          <w:tcPr>
            <w:tcW w:type="dxa" w:w="152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数据敏感</w:t>
            </w:r>
          </w:p>
        </w:tc>
        <w:tc>
          <w:tcPr>
            <w:tcW w:type="dxa" w:w="131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商业付费</w:t>
            </w:r>
          </w:p>
        </w:tc>
        <w:tc>
          <w:tcPr>
            <w:tcW w:type="dxa" w:w="202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结论</w:t>
            </w:r>
          </w:p>
        </w:tc>
      </w:tr>
      <w:tr>
        <w:trPr>
          <w:cantSplit/>
        </w:trPr>
        <w:tc>
          <w:tcPr>
            <w:tcW w:type="dxa" w:w="185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商业合同争议</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w:t>
            </w:r>
          </w:p>
        </w:tc>
        <w:tc>
          <w:tcPr>
            <w:tcW w:type="dxa" w:w="15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中</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w:t>
            </w:r>
          </w:p>
        </w:tc>
        <w:tc>
          <w:tcPr>
            <w:tcW w:type="dxa" w:w="2027"/>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5"/>
              </w:rPr>
              <w:t>首发</w:t>
            </w:r>
          </w:p>
        </w:tc>
      </w:tr>
      <w:tr>
        <w:trPr>
          <w:cantSplit/>
        </w:trPr>
        <w:tc>
          <w:tcPr>
            <w:tcW w:type="dxa" w:w="185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建设工程/工程款</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很高</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中高</w:t>
            </w:r>
          </w:p>
        </w:tc>
        <w:tc>
          <w:tcPr>
            <w:tcW w:type="dxa" w:w="15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中</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高</w:t>
            </w:r>
          </w:p>
        </w:tc>
        <w:tc>
          <w:tcPr>
            <w:tcW w:type="dxa" w:w="202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第二案由候选</w:t>
            </w:r>
          </w:p>
        </w:tc>
      </w:tr>
      <w:tr>
        <w:trPr>
          <w:cantSplit/>
        </w:trPr>
        <w:tc>
          <w:tcPr>
            <w:tcW w:type="dxa" w:w="185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劳动争议</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中</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w:t>
            </w:r>
          </w:p>
        </w:tc>
        <w:tc>
          <w:tcPr>
            <w:tcW w:type="dxa" w:w="15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高（员工敏感信息）</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中</w:t>
            </w:r>
          </w:p>
        </w:tc>
        <w:tc>
          <w:tcPr>
            <w:tcW w:type="dxa" w:w="202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标准版成熟后</w:t>
            </w:r>
          </w:p>
        </w:tc>
      </w:tr>
      <w:tr>
        <w:trPr>
          <w:cantSplit/>
        </w:trPr>
        <w:tc>
          <w:tcPr>
            <w:tcW w:type="dxa" w:w="185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知识产权争议</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高</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中</w:t>
            </w:r>
          </w:p>
        </w:tc>
        <w:tc>
          <w:tcPr>
            <w:tcW w:type="dxa" w:w="15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高（技术秘密）</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高</w:t>
            </w:r>
          </w:p>
        </w:tc>
        <w:tc>
          <w:tcPr>
            <w:tcW w:type="dxa" w:w="202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私有化能力成熟后</w:t>
            </w:r>
          </w:p>
        </w:tc>
      </w:tr>
      <w:tr>
        <w:trPr>
          <w:cantSplit/>
        </w:trPr>
        <w:tc>
          <w:tcPr>
            <w:tcW w:type="dxa" w:w="185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破产/债权申报</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很高</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w:t>
            </w:r>
          </w:p>
        </w:tc>
        <w:tc>
          <w:tcPr>
            <w:tcW w:type="dxa" w:w="15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高</w:t>
            </w:r>
          </w:p>
        </w:tc>
        <w:tc>
          <w:tcPr>
            <w:tcW w:type="dxa" w:w="202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需要批量债权和流程模块后</w:t>
            </w:r>
          </w:p>
        </w:tc>
      </w:tr>
      <w:tr>
        <w:trPr>
          <w:cantSplit/>
        </w:trPr>
        <w:tc>
          <w:tcPr>
            <w:tcW w:type="dxa" w:w="185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企业内部调查</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很高</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中</w:t>
            </w:r>
          </w:p>
        </w:tc>
        <w:tc>
          <w:tcPr>
            <w:tcW w:type="dxa" w:w="15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很高</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很高</w:t>
            </w:r>
          </w:p>
        </w:tc>
        <w:tc>
          <w:tcPr>
            <w:tcW w:type="dxa" w:w="202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安全与权限体系成熟后</w:t>
            </w:r>
          </w:p>
        </w:tc>
      </w:tr>
      <w:tr>
        <w:trPr>
          <w:cantSplit/>
        </w:trPr>
        <w:tc>
          <w:tcPr>
            <w:tcW w:type="dxa" w:w="185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刑事案件</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很高</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低</w:t>
            </w:r>
          </w:p>
        </w:tc>
        <w:tc>
          <w:tcPr>
            <w:tcW w:type="dxa" w:w="15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极高</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中高</w:t>
            </w:r>
          </w:p>
        </w:tc>
        <w:tc>
          <w:tcPr>
            <w:tcW w:type="dxa" w:w="2027"/>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5"/>
              </w:rPr>
              <w:t>MVP 排除</w:t>
            </w:r>
          </w:p>
        </w:tc>
      </w:tr>
      <w:tr>
        <w:trPr>
          <w:cantSplit/>
        </w:trPr>
        <w:tc>
          <w:tcPr>
            <w:tcW w:type="dxa" w:w="185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婚姻家事/未成年人</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中</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中</w:t>
            </w:r>
          </w:p>
        </w:tc>
        <w:tc>
          <w:tcPr>
            <w:tcW w:type="dxa" w:w="15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极高</w:t>
            </w:r>
          </w:p>
        </w:tc>
        <w:tc>
          <w:tcPr>
            <w:tcW w:type="dxa" w:w="131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中</w:t>
            </w:r>
          </w:p>
        </w:tc>
        <w:tc>
          <w:tcPr>
            <w:tcW w:type="dxa" w:w="202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5"/>
              </w:rPr>
              <w:t>MVP 排除</w:t>
            </w:r>
          </w:p>
        </w:tc>
      </w:tr>
      <w:tr>
        <w:trPr>
          <w:cantSplit/>
        </w:trPr>
        <w:tc>
          <w:tcPr>
            <w:tcW w:type="dxa" w:w="185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国家秘密/工作秘密相关</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不定</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不定</w:t>
            </w:r>
          </w:p>
        </w:tc>
        <w:tc>
          <w:tcPr>
            <w:tcW w:type="dxa" w:w="15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极高</w:t>
            </w:r>
          </w:p>
        </w:tc>
        <w:tc>
          <w:tcPr>
            <w:tcW w:type="dxa" w:w="131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不定</w:t>
            </w:r>
          </w:p>
        </w:tc>
        <w:tc>
          <w:tcPr>
            <w:tcW w:type="dxa" w:w="2027"/>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5"/>
              </w:rPr>
              <w:t>普通产品永久禁止接收</w:t>
            </w:r>
          </w:p>
        </w:tc>
      </w:tr>
    </w:tbl>
    <w:p>
      <w:pPr>
        <w:spacing w:after="0"/>
      </w:pPr>
    </w:p>
    <w:p>
      <w:pPr>
        <w:pStyle w:val="Heading3"/>
        <w:keepNext/>
        <w:keepLines/>
      </w:pPr>
      <w:r>
        <w:rPr>
          <w:rFonts w:ascii="Calibri" w:hAnsi="Calibri" w:eastAsia="Microsoft YaHei"/>
          <w:b/>
          <w:color w:val="17365D"/>
          <w:sz w:val="24"/>
        </w:rPr>
        <w:t>首发场景定义</w:t>
      </w:r>
    </w:p>
    <w:p>
      <w:r>
        <w:rPr>
          <w:rFonts w:ascii="Calibri" w:hAnsi="Calibri" w:eastAsia="Microsoft YaHei"/>
          <w:b/>
          <w:color w:val="1F2937"/>
          <w:sz w:val="22"/>
        </w:rPr>
        <w:t>商业合同争议案件准备工作台</w:t>
      </w:r>
      <w:r>
        <w:rPr>
          <w:rFonts w:ascii="Calibri" w:hAnsi="Calibri" w:eastAsia="Microsoft YaHei"/>
          <w:b w:val="0"/>
          <w:color w:val="1F2937"/>
          <w:sz w:val="22"/>
        </w:rPr>
        <w:t>，覆盖合同成立与效力、履行与违约、解除、价款/损失、担保、管辖、时效等常见争点。首发不是对所有争议给出最终法律结论，而是稳定生产：</w:t>
      </w:r>
    </w:p>
    <w:p>
      <w:pPr>
        <w:pStyle w:val="ListBullet"/>
        <w:keepLines/>
      </w:pPr>
      <w:r>
        <w:rPr>
          <w:rFonts w:ascii="Calibri" w:hAnsi="Calibri" w:eastAsia="Microsoft YaHei"/>
          <w:b w:val="0"/>
          <w:color w:val="1F2937"/>
          <w:sz w:val="22"/>
        </w:rPr>
        <w:t>材料清单与证据编号建议；</w:t>
      </w:r>
    </w:p>
    <w:p>
      <w:pPr>
        <w:pStyle w:val="ListBullet"/>
        <w:keepLines/>
      </w:pPr>
      <w:r>
        <w:rPr>
          <w:rFonts w:ascii="Calibri" w:hAnsi="Calibri" w:eastAsia="Microsoft YaHei"/>
          <w:b w:val="0"/>
          <w:color w:val="1F2937"/>
          <w:sz w:val="22"/>
        </w:rPr>
        <w:t>当事人/关联方/合同关系图；</w:t>
      </w:r>
    </w:p>
    <w:p>
      <w:pPr>
        <w:pStyle w:val="ListBullet"/>
        <w:keepLines/>
      </w:pPr>
      <w:r>
        <w:rPr>
          <w:rFonts w:ascii="Calibri" w:hAnsi="Calibri" w:eastAsia="Microsoft YaHei"/>
          <w:b w:val="0"/>
          <w:color w:val="1F2937"/>
          <w:sz w:val="22"/>
        </w:rPr>
        <w:t>带页码来源的事实时间线；</w:t>
      </w:r>
    </w:p>
    <w:p>
      <w:pPr>
        <w:pStyle w:val="ListBullet"/>
        <w:keepLines/>
      </w:pPr>
      <w:r>
        <w:rPr>
          <w:rFonts w:ascii="Calibri" w:hAnsi="Calibri" w:eastAsia="Microsoft YaHei"/>
          <w:b w:val="0"/>
          <w:color w:val="1F2937"/>
          <w:sz w:val="22"/>
        </w:rPr>
        <w:t>争点树及请求权候选；</w:t>
      </w:r>
    </w:p>
    <w:p>
      <w:pPr>
        <w:pStyle w:val="ListBullet"/>
        <w:keepLines/>
      </w:pPr>
      <w:r>
        <w:rPr>
          <w:rFonts w:ascii="Calibri" w:hAnsi="Calibri" w:eastAsia="Microsoft YaHei"/>
          <w:b w:val="0"/>
          <w:color w:val="1F2937"/>
          <w:sz w:val="22"/>
        </w:rPr>
        <w:t>要件—事实—证据—反证—缺口矩阵；</w:t>
      </w:r>
    </w:p>
    <w:p>
      <w:pPr>
        <w:pStyle w:val="ListBullet"/>
        <w:keepLines/>
      </w:pPr>
      <w:r>
        <w:rPr>
          <w:rFonts w:ascii="Calibri" w:hAnsi="Calibri" w:eastAsia="Microsoft YaHei"/>
          <w:b w:val="0"/>
          <w:color w:val="1F2937"/>
          <w:sz w:val="22"/>
        </w:rPr>
        <w:t>对方可能主张与矛盾点；</w:t>
      </w:r>
    </w:p>
    <w:p>
      <w:pPr>
        <w:pStyle w:val="ListBullet"/>
        <w:keepLines/>
      </w:pPr>
      <w:r>
        <w:rPr>
          <w:rFonts w:ascii="Calibri" w:hAnsi="Calibri" w:eastAsia="Microsoft YaHei"/>
          <w:b w:val="0"/>
          <w:color w:val="1F2937"/>
          <w:sz w:val="22"/>
        </w:rPr>
        <w:t>律师确认范围内的法规案例检索；</w:t>
      </w:r>
    </w:p>
    <w:p>
      <w:pPr>
        <w:pStyle w:val="ListBullet"/>
        <w:keepLines/>
      </w:pPr>
      <w:r>
        <w:rPr>
          <w:rFonts w:ascii="Calibri" w:hAnsi="Calibri" w:eastAsia="Microsoft YaHei"/>
          <w:b w:val="0"/>
          <w:color w:val="1F2937"/>
          <w:sz w:val="22"/>
        </w:rPr>
        <w:t>起诉状、答辩状、代理意见或法律备忘录的待审初稿。</w:t>
      </w:r>
    </w:p>
    <w:p>
      <w:pPr>
        <w:pStyle w:val="Heading2"/>
        <w:keepNext/>
        <w:keepLines/>
      </w:pPr>
      <w:r>
        <w:rPr>
          <w:rFonts w:ascii="Calibri" w:hAnsi="Calibri" w:eastAsia="Microsoft YaHei"/>
          <w:b/>
          <w:color w:val="1F4E79"/>
          <w:sz w:val="26"/>
        </w:rPr>
        <w:t>3.4 竞争格局</w:t>
      </w:r>
    </w:p>
    <w:p>
      <w:pPr>
        <w:pStyle w:val="Heading3"/>
        <w:keepNext/>
        <w:keepLines/>
      </w:pPr>
      <w:r>
        <w:rPr>
          <w:rFonts w:ascii="Calibri" w:hAnsi="Calibri" w:eastAsia="Microsoft YaHei"/>
          <w:b/>
          <w:color w:val="17365D"/>
          <w:sz w:val="24"/>
        </w:rPr>
        <w:t>3.4.1 国内竞品</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49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类别/代表</w:t>
            </w:r>
          </w:p>
        </w:tc>
        <w:tc>
          <w:tcPr>
            <w:tcW w:type="dxa" w:w="299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已有优势</w:t>
            </w:r>
          </w:p>
        </w:tc>
        <w:tc>
          <w:tcPr>
            <w:tcW w:type="dxa" w:w="187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我方不应硬碰的领域</w:t>
            </w:r>
          </w:p>
        </w:tc>
        <w:tc>
          <w:tcPr>
            <w:tcW w:type="dxa" w:w="299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可形成差异的方向</w:t>
            </w:r>
          </w:p>
        </w:tc>
      </w:tr>
      <w:tr>
        <w:trPr>
          <w:cantSplit/>
        </w:trPr>
        <w:tc>
          <w:tcPr>
            <w:tcW w:type="dxa" w:w="149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iCourt Alpha</w:t>
            </w:r>
          </w:p>
        </w:tc>
        <w:tc>
          <w:tcPr>
            <w:tcW w:type="dxa" w:w="299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法律检索、合同、文书、证据、协同办案和律所管理一体化；官方页面称已有大规模法律用户</w:t>
            </w:r>
          </w:p>
        </w:tc>
        <w:tc>
          <w:tcPr>
            <w:tcW w:type="dxa" w:w="187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全栈律所 OS 和存量用户网络</w:t>
            </w:r>
          </w:p>
        </w:tc>
        <w:tc>
          <w:tcPr>
            <w:tcW w:type="dxa" w:w="299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以“案件事实图谱 + 可验证工作包 + 深度部署治理”切入</w:t>
            </w:r>
          </w:p>
        </w:tc>
      </w:tr>
      <w:tr>
        <w:trPr>
          <w:cantSplit/>
        </w:trPr>
        <w:tc>
          <w:tcPr>
            <w:tcW w:type="dxa" w:w="149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北大法宝/威科先行</w:t>
            </w:r>
          </w:p>
        </w:tc>
        <w:tc>
          <w:tcPr>
            <w:tcW w:type="dxa" w:w="299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长期积累的权威法律内容、法条案例关联和检索能力</w:t>
            </w:r>
          </w:p>
        </w:tc>
        <w:tc>
          <w:tcPr>
            <w:tcW w:type="dxa" w:w="187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自建同等规模内容库</w:t>
            </w:r>
          </w:p>
        </w:tc>
        <w:tc>
          <w:tcPr>
            <w:tcW w:type="dxa" w:w="299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合作或采购 API/数据授权，把法源验证做成工作流</w:t>
            </w:r>
          </w:p>
        </w:tc>
      </w:tr>
      <w:tr>
        <w:trPr>
          <w:cantSplit/>
        </w:trPr>
        <w:tc>
          <w:tcPr>
            <w:tcW w:type="dxa" w:w="149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元典等法律数据 API</w:t>
            </w:r>
          </w:p>
        </w:tc>
        <w:tc>
          <w:tcPr>
            <w:tcW w:type="dxa" w:w="299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法条/案例校验、幻觉检测、开放接口</w:t>
            </w:r>
          </w:p>
        </w:tc>
        <w:tc>
          <w:tcPr>
            <w:tcW w:type="dxa" w:w="187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重复建设内容校验底层</w:t>
            </w:r>
          </w:p>
        </w:tc>
        <w:tc>
          <w:tcPr>
            <w:tcW w:type="dxa" w:w="299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作为可替换验证器，保持多供应商策略</w:t>
            </w:r>
          </w:p>
        </w:tc>
      </w:tr>
      <w:tr>
        <w:trPr>
          <w:cantSplit/>
        </w:trPr>
        <w:tc>
          <w:tcPr>
            <w:tcW w:type="dxa" w:w="149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通用大模型/办公 AI</w:t>
            </w:r>
          </w:p>
        </w:tc>
        <w:tc>
          <w:tcPr>
            <w:tcW w:type="dxa" w:w="299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低价、使用方便、模型能力进步快</w:t>
            </w:r>
          </w:p>
        </w:tc>
        <w:tc>
          <w:tcPr>
            <w:tcW w:type="dxa" w:w="187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单纯聊天、摘要和通用写作</w:t>
            </w:r>
          </w:p>
        </w:tc>
        <w:tc>
          <w:tcPr>
            <w:tcW w:type="dxa" w:w="299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案件权限、证据链、法源时效、复核与审计</w:t>
            </w:r>
          </w:p>
        </w:tc>
      </w:tr>
    </w:tbl>
    <w:p>
      <w:pPr>
        <w:spacing w:after="0"/>
      </w:pPr>
    </w:p>
    <w:p>
      <w:r>
        <w:rPr>
          <w:rFonts w:ascii="Calibri" w:hAnsi="Calibri" w:eastAsia="Microsoft YaHei"/>
          <w:b w:val="0"/>
          <w:color w:val="1F2937"/>
          <w:sz w:val="22"/>
        </w:rPr>
        <w:t>iCourt 官方资料已覆盖法律检索、合同审查、文书起草、证据系统、法律意见和知识库；北大法宝已提供基于 MCP 的智能法律服务；威科先行把 AI 与其法律数据库结合；元典开放平台提供法条/案例引证校验。这表明“给律师一个法律聊天框”已经没有足够差异。</w:t>
      </w:r>
      <w:hyperlink r:id="rId13">
        <w:r>
          <w:rPr>
            <w:rFonts w:ascii="Calibri" w:hAnsi="Calibri" w:eastAsia="Microsoft YaHei"/>
            <w:color w:val="1F4E79"/>
            <w:u w:val="single"/>
          </w:rPr>
          <w:t>iCourt Alpha</w:t>
        </w:r>
      </w:hyperlink>
      <w:r>
        <w:rPr>
          <w:rFonts w:ascii="Calibri" w:hAnsi="Calibri" w:eastAsia="Microsoft YaHei"/>
          <w:b w:val="0"/>
          <w:color w:val="1F2937"/>
          <w:sz w:val="22"/>
        </w:rPr>
        <w:t xml:space="preserve"> </w:t>
      </w:r>
      <w:hyperlink r:id="rId14">
        <w:r>
          <w:rPr>
            <w:rFonts w:ascii="Calibri" w:hAnsi="Calibri" w:eastAsia="Microsoft YaHei"/>
            <w:color w:val="1F4E79"/>
            <w:u w:val="single"/>
          </w:rPr>
          <w:t>北大法宝 MCP</w:t>
        </w:r>
      </w:hyperlink>
      <w:r>
        <w:rPr>
          <w:rFonts w:ascii="Calibri" w:hAnsi="Calibri" w:eastAsia="Microsoft YaHei"/>
          <w:b w:val="0"/>
          <w:color w:val="1F2937"/>
          <w:sz w:val="22"/>
        </w:rPr>
        <w:t xml:space="preserve"> </w:t>
      </w:r>
      <w:hyperlink r:id="rId15">
        <w:r>
          <w:rPr>
            <w:rFonts w:ascii="Calibri" w:hAnsi="Calibri" w:eastAsia="Microsoft YaHei"/>
            <w:color w:val="1F4E79"/>
            <w:u w:val="single"/>
          </w:rPr>
          <w:t>威科先行 AI+</w:t>
        </w:r>
      </w:hyperlink>
      <w:r>
        <w:rPr>
          <w:rFonts w:ascii="Calibri" w:hAnsi="Calibri" w:eastAsia="Microsoft YaHei"/>
          <w:b w:val="0"/>
          <w:color w:val="1F2937"/>
          <w:sz w:val="22"/>
        </w:rPr>
        <w:t xml:space="preserve"> </w:t>
      </w:r>
      <w:hyperlink r:id="rId16">
        <w:r>
          <w:rPr>
            <w:rFonts w:ascii="Calibri" w:hAnsi="Calibri" w:eastAsia="Microsoft YaHei"/>
            <w:color w:val="1F4E79"/>
            <w:u w:val="single"/>
          </w:rPr>
          <w:t>元典开放平台</w:t>
        </w:r>
      </w:hyperlink>
    </w:p>
    <w:p>
      <w:pPr>
        <w:pStyle w:val="Heading3"/>
        <w:keepNext/>
        <w:keepLines/>
      </w:pPr>
      <w:r>
        <w:rPr>
          <w:rFonts w:ascii="Calibri" w:hAnsi="Calibri" w:eastAsia="Microsoft YaHei"/>
          <w:b/>
          <w:color w:val="17365D"/>
          <w:sz w:val="24"/>
        </w:rPr>
        <w:t>3.4.2 国际参照</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312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产品</w:t>
            </w:r>
          </w:p>
        </w:tc>
        <w:tc>
          <w:tcPr>
            <w:tcW w:type="dxa" w:w="312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值得学习</w:t>
            </w:r>
          </w:p>
        </w:tc>
        <w:tc>
          <w:tcPr>
            <w:tcW w:type="dxa" w:w="312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不应照搬</w:t>
            </w:r>
          </w:p>
        </w:tc>
      </w:tr>
      <w:tr>
        <w:trPr>
          <w:cantSplit/>
        </w:trPr>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Harvey / Legora</w:t>
            </w:r>
          </w:p>
        </w:tc>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专业服务工作台、团队知识、Word 与 DMS 集成、复杂工作流</w:t>
            </w:r>
          </w:p>
        </w:tc>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依赖境外模型与法源、面向全球大所的高成本实施</w:t>
            </w:r>
          </w:p>
        </w:tc>
      </w:tr>
      <w:tr>
        <w:trPr>
          <w:cantSplit/>
        </w:trPr>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Thomson Reuters CoCounsel</w:t>
            </w:r>
          </w:p>
        </w:tc>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权威内容、引证、研究与起草一体、引导式 agentic workflow</w:t>
            </w:r>
          </w:p>
        </w:tc>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其 Westlaw/Practical Law 内容壁垒无法短期复制</w:t>
            </w:r>
          </w:p>
        </w:tc>
      </w:tr>
      <w:tr>
        <w:trPr>
          <w:cantSplit/>
        </w:trPr>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Lexis+ with Protégé</w:t>
            </w:r>
          </w:p>
        </w:tc>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Shepard’s 引证状态验证、多模型与工作流</w:t>
            </w:r>
          </w:p>
        </w:tc>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普通 RAG 无法等价替代编辑体系和 citator</w:t>
            </w:r>
          </w:p>
        </w:tc>
      </w:tr>
      <w:tr>
        <w:trPr>
          <w:cantSplit/>
        </w:trPr>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Clio Manage AI</w:t>
            </w:r>
          </w:p>
        </w:tc>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AI 嵌入案件系统，执行日历、任务、账单等动作但保留审批</w:t>
            </w:r>
          </w:p>
        </w:tc>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中国律所管理、收费和本地生态不同</w:t>
            </w:r>
          </w:p>
        </w:tc>
      </w:tr>
      <w:tr>
        <w:trPr>
          <w:cantSplit/>
        </w:trPr>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Relativity aiR</w:t>
            </w:r>
          </w:p>
        </w:tc>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证据审阅、权限与大规模数据工作流</w:t>
            </w:r>
          </w:p>
        </w:tc>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不在 MVP 复制完整电子取证平台</w:t>
            </w:r>
          </w:p>
        </w:tc>
      </w:tr>
      <w:tr>
        <w:trPr>
          <w:cantSplit/>
        </w:trPr>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Luminance</w:t>
            </w:r>
          </w:p>
        </w:tc>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合同批量审查、Word 内修改与 playbook</w:t>
            </w:r>
          </w:p>
        </w:tc>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首发重点是争议案件而非交易合同生命周期</w:t>
            </w:r>
          </w:p>
        </w:tc>
      </w:tr>
    </w:tbl>
    <w:p>
      <w:pPr>
        <w:spacing w:after="0"/>
      </w:pPr>
    </w:p>
    <w:p>
      <w:r>
        <w:rPr>
          <w:rFonts w:ascii="Calibri" w:hAnsi="Calibri" w:eastAsia="Microsoft YaHei"/>
          <w:b w:val="0"/>
          <w:color w:val="1F2937"/>
          <w:sz w:val="22"/>
        </w:rPr>
        <w:t>国际主流产品的共同方向不是“更会聊天”，而是：</w:t>
      </w:r>
      <w:r>
        <w:rPr>
          <w:rFonts w:ascii="Calibri" w:hAnsi="Calibri" w:eastAsia="Microsoft YaHei"/>
          <w:b/>
          <w:color w:val="1F2937"/>
          <w:sz w:val="22"/>
        </w:rPr>
        <w:t>可信内容、案件上下文、完成具体动作、与现有系统融合、可审批、可审计。</w:t>
      </w:r>
      <w:r>
        <w:rPr>
          <w:rFonts w:ascii="Calibri" w:hAnsi="Calibri" w:eastAsia="Microsoft YaHei"/>
          <w:b w:val="0"/>
          <w:color w:val="1F2937"/>
          <w:sz w:val="22"/>
        </w:rPr>
        <w:t xml:space="preserve"> </w:t>
      </w:r>
      <w:hyperlink r:id="rId17">
        <w:r>
          <w:rPr>
            <w:rFonts w:ascii="Calibri" w:hAnsi="Calibri" w:eastAsia="Microsoft YaHei"/>
            <w:color w:val="1F4E79"/>
            <w:u w:val="single"/>
          </w:rPr>
          <w:t>Harvey</w:t>
        </w:r>
      </w:hyperlink>
      <w:r>
        <w:rPr>
          <w:rFonts w:ascii="Calibri" w:hAnsi="Calibri" w:eastAsia="Microsoft YaHei"/>
          <w:b w:val="0"/>
          <w:color w:val="1F2937"/>
          <w:sz w:val="22"/>
        </w:rPr>
        <w:t xml:space="preserve"> </w:t>
      </w:r>
      <w:hyperlink r:id="rId18">
        <w:r>
          <w:rPr>
            <w:rFonts w:ascii="Calibri" w:hAnsi="Calibri" w:eastAsia="Microsoft YaHei"/>
            <w:color w:val="1F4E79"/>
            <w:u w:val="single"/>
          </w:rPr>
          <w:t>Legora</w:t>
        </w:r>
      </w:hyperlink>
      <w:r>
        <w:rPr>
          <w:rFonts w:ascii="Calibri" w:hAnsi="Calibri" w:eastAsia="Microsoft YaHei"/>
          <w:b w:val="0"/>
          <w:color w:val="1F2937"/>
          <w:sz w:val="22"/>
        </w:rPr>
        <w:t xml:space="preserve"> </w:t>
      </w:r>
      <w:hyperlink r:id="rId19">
        <w:r>
          <w:rPr>
            <w:rFonts w:ascii="Calibri" w:hAnsi="Calibri" w:eastAsia="Microsoft YaHei"/>
            <w:color w:val="1F4E79"/>
            <w:u w:val="single"/>
          </w:rPr>
          <w:t>CoCounsel Legal</w:t>
        </w:r>
      </w:hyperlink>
      <w:r>
        <w:rPr>
          <w:rFonts w:ascii="Calibri" w:hAnsi="Calibri" w:eastAsia="Microsoft YaHei"/>
          <w:b w:val="0"/>
          <w:color w:val="1F2937"/>
          <w:sz w:val="22"/>
        </w:rPr>
        <w:t xml:space="preserve"> </w:t>
      </w:r>
      <w:hyperlink r:id="rId20">
        <w:r>
          <w:rPr>
            <w:rFonts w:ascii="Calibri" w:hAnsi="Calibri" w:eastAsia="Microsoft YaHei"/>
            <w:color w:val="1F4E79"/>
            <w:u w:val="single"/>
          </w:rPr>
          <w:t>Lexis+ with Protégé</w:t>
        </w:r>
      </w:hyperlink>
      <w:r>
        <w:rPr>
          <w:rFonts w:ascii="Calibri" w:hAnsi="Calibri" w:eastAsia="Microsoft YaHei"/>
          <w:b w:val="0"/>
          <w:color w:val="1F2937"/>
          <w:sz w:val="22"/>
        </w:rPr>
        <w:t xml:space="preserve"> </w:t>
      </w:r>
      <w:hyperlink r:id="rId21">
        <w:r>
          <w:rPr>
            <w:rFonts w:ascii="Calibri" w:hAnsi="Calibri" w:eastAsia="Microsoft YaHei"/>
            <w:color w:val="1F4E79"/>
            <w:u w:val="single"/>
          </w:rPr>
          <w:t>Clio Legal AI</w:t>
        </w:r>
      </w:hyperlink>
      <w:r>
        <w:rPr>
          <w:rFonts w:ascii="Calibri" w:hAnsi="Calibri" w:eastAsia="Microsoft YaHei"/>
          <w:b w:val="0"/>
          <w:color w:val="1F2937"/>
          <w:sz w:val="22"/>
        </w:rPr>
        <w:t xml:space="preserve"> </w:t>
      </w:r>
      <w:hyperlink r:id="rId22">
        <w:r>
          <w:rPr>
            <w:rFonts w:ascii="Calibri" w:hAnsi="Calibri" w:eastAsia="Microsoft YaHei"/>
            <w:color w:val="1F4E79"/>
            <w:u w:val="single"/>
          </w:rPr>
          <w:t>RelativityOne</w:t>
        </w:r>
      </w:hyperlink>
      <w:r>
        <w:rPr>
          <w:rFonts w:ascii="Calibri" w:hAnsi="Calibri" w:eastAsia="Microsoft YaHei"/>
          <w:b w:val="0"/>
          <w:color w:val="1F2937"/>
          <w:sz w:val="22"/>
        </w:rPr>
        <w:t xml:space="preserve"> </w:t>
      </w:r>
      <w:hyperlink r:id="rId23">
        <w:r>
          <w:rPr>
            <w:rFonts w:ascii="Calibri" w:hAnsi="Calibri" w:eastAsia="Microsoft YaHei"/>
            <w:color w:val="1F4E79"/>
            <w:u w:val="single"/>
          </w:rPr>
          <w:t>Luminance</w:t>
        </w:r>
      </w:hyperlink>
    </w:p>
    <w:p>
      <w:pPr>
        <w:pStyle w:val="Heading2"/>
        <w:keepNext/>
        <w:keepLines/>
      </w:pPr>
      <w:r>
        <w:rPr>
          <w:rFonts w:ascii="Calibri" w:hAnsi="Calibri" w:eastAsia="Microsoft YaHei"/>
          <w:b/>
          <w:color w:val="1F4E79"/>
          <w:sz w:val="26"/>
        </w:rPr>
        <w:t>3.5 市场空位与可持续壁垒</w:t>
      </w:r>
    </w:p>
    <w:p>
      <w:r>
        <w:rPr>
          <w:rFonts w:ascii="Calibri" w:hAnsi="Calibri" w:eastAsia="Microsoft YaHei"/>
          <w:b w:val="0"/>
          <w:color w:val="1F2937"/>
          <w:sz w:val="22"/>
        </w:rPr>
        <w:t>真正可占据的空位是：</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面向中国争议解决团队的、把案件原件转化为“事实—证据—法律—工作成果”可追溯图谱，并以私有部署和全过程治理交付的案件工作平台。</w:t>
            </w:r>
          </w:p>
        </w:tc>
      </w:tr>
    </w:tbl>
    <w:p>
      <w:pPr>
        <w:spacing w:after="0"/>
      </w:pPr>
    </w:p>
    <w:p>
      <w:r>
        <w:rPr>
          <w:rFonts w:ascii="Calibri" w:hAnsi="Calibri" w:eastAsia="Microsoft YaHei"/>
          <w:b w:val="0"/>
          <w:color w:val="1F2937"/>
          <w:sz w:val="22"/>
        </w:rPr>
        <w:t>壁垒不应押注单一模型，而由六部分叠加：</w:t>
      </w:r>
    </w:p>
    <w:p>
      <w:pPr>
        <w:pStyle w:val="ListNumber"/>
        <w:numPr>
          <w:ilvl w:val="0"/>
          <w:numId w:val="14"/>
        </w:numPr>
        <w:keepLines/>
      </w:pPr>
      <w:r>
        <w:rPr>
          <w:rFonts w:ascii="Calibri" w:hAnsi="Calibri" w:eastAsia="Microsoft YaHei"/>
          <w:b w:val="0"/>
          <w:color w:val="1F2937"/>
          <w:sz w:val="22"/>
        </w:rPr>
        <w:t>获得合法授权、版本化且可校验的法源供应链；</w:t>
      </w:r>
    </w:p>
    <w:p>
      <w:pPr>
        <w:pStyle w:val="ListNumber"/>
        <w:numPr>
          <w:ilvl w:val="0"/>
          <w:numId w:val="14"/>
        </w:numPr>
        <w:keepLines/>
      </w:pPr>
      <w:r>
        <w:rPr>
          <w:rFonts w:ascii="Calibri" w:hAnsi="Calibri" w:eastAsia="Microsoft YaHei"/>
          <w:b w:val="0"/>
          <w:color w:val="1F2937"/>
          <w:sz w:val="22"/>
        </w:rPr>
        <w:t>经过律师确认的案件事实/证据数据模型与案由 playbook；</w:t>
      </w:r>
    </w:p>
    <w:p>
      <w:pPr>
        <w:pStyle w:val="ListNumber"/>
        <w:numPr>
          <w:ilvl w:val="0"/>
          <w:numId w:val="14"/>
        </w:numPr>
        <w:keepLines/>
      </w:pPr>
      <w:r>
        <w:rPr>
          <w:rFonts w:ascii="Calibri" w:hAnsi="Calibri" w:eastAsia="Microsoft YaHei"/>
          <w:b w:val="0"/>
          <w:color w:val="1F2937"/>
          <w:sz w:val="22"/>
        </w:rPr>
        <w:t>能测量净工时、漏项和引证质量的评测体系；</w:t>
      </w:r>
    </w:p>
    <w:p>
      <w:pPr>
        <w:pStyle w:val="ListNumber"/>
        <w:numPr>
          <w:ilvl w:val="0"/>
          <w:numId w:val="14"/>
        </w:numPr>
        <w:keepLines/>
      </w:pPr>
      <w:r>
        <w:rPr>
          <w:rFonts w:ascii="Calibri" w:hAnsi="Calibri" w:eastAsia="Microsoft YaHei"/>
          <w:b w:val="0"/>
          <w:color w:val="1F2937"/>
          <w:sz w:val="22"/>
        </w:rPr>
        <w:t>律所 DMS、OA、邮箱、扫描件和 Word 工作流集成；</w:t>
      </w:r>
    </w:p>
    <w:p>
      <w:pPr>
        <w:pStyle w:val="ListNumber"/>
        <w:numPr>
          <w:ilvl w:val="0"/>
          <w:numId w:val="14"/>
        </w:numPr>
        <w:keepLines/>
      </w:pPr>
      <w:r>
        <w:rPr>
          <w:rFonts w:ascii="Calibri" w:hAnsi="Calibri" w:eastAsia="Microsoft YaHei"/>
          <w:b w:val="0"/>
          <w:color w:val="1F2937"/>
          <w:sz w:val="22"/>
        </w:rPr>
        <w:t>案件伦理墙、审计和部署能力形成的信任成本；</w:t>
      </w:r>
    </w:p>
    <w:p>
      <w:pPr>
        <w:pStyle w:val="ListNumber"/>
        <w:numPr>
          <w:ilvl w:val="0"/>
          <w:numId w:val="14"/>
        </w:numPr>
        <w:keepLines/>
      </w:pPr>
      <w:r>
        <w:rPr>
          <w:rFonts w:ascii="Calibri" w:hAnsi="Calibri" w:eastAsia="Microsoft YaHei"/>
          <w:b w:val="0"/>
          <w:color w:val="1F2937"/>
          <w:sz w:val="22"/>
        </w:rPr>
        <w:t>律师在真实工作中沉淀的结构化修订反馈，但只能在授权、去标识和严格隔离条件下使用。</w:t>
      </w:r>
    </w:p>
    <w:p>
      <w:pPr>
        <w:pStyle w:val="Heading2"/>
        <w:keepNext/>
        <w:keepLines/>
      </w:pPr>
      <w:r>
        <w:rPr>
          <w:rFonts w:ascii="Calibri" w:hAnsi="Calibri" w:eastAsia="Microsoft YaHei"/>
          <w:b/>
          <w:color w:val="1F4E79"/>
          <w:sz w:val="26"/>
        </w:rPr>
        <w:t>3.6 市场容量：只做自下而上估算</w:t>
      </w:r>
    </w:p>
    <w:p>
      <w:r>
        <w:rPr>
          <w:rFonts w:ascii="Calibri" w:hAnsi="Calibri" w:eastAsia="Microsoft YaHei"/>
          <w:b w:val="0"/>
          <w:color w:val="1F2937"/>
          <w:sz w:val="22"/>
        </w:rPr>
        <w:t>以司法部 2022 年分层数据作为保守基数，21 人以上律所约 5,321 家。以下不是官方市场规模，而是便于决策的价格敏感性模型：</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232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假设</w:t>
            </w:r>
          </w:p>
        </w:tc>
        <w:tc>
          <w:tcPr>
            <w:tcW w:type="dxa" w:w="232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目标机构数</w:t>
            </w:r>
          </w:p>
        </w:tc>
        <w:tc>
          <w:tcPr>
            <w:tcW w:type="dxa" w:w="232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年均合同额假设</w:t>
            </w:r>
          </w:p>
        </w:tc>
        <w:tc>
          <w:tcPr>
            <w:tcW w:type="dxa" w:w="238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对应年市场容量</w:t>
            </w:r>
          </w:p>
        </w:tc>
      </w:tr>
      <w:tr>
        <w:trPr>
          <w:cantSplit/>
        </w:trPr>
        <w:tc>
          <w:tcPr>
            <w:tcW w:type="dxa" w:w="232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低位</w:t>
            </w:r>
          </w:p>
        </w:tc>
        <w:tc>
          <w:tcPr>
            <w:tcW w:type="dxa" w:w="232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5,321</w:t>
            </w:r>
          </w:p>
        </w:tc>
        <w:tc>
          <w:tcPr>
            <w:tcW w:type="dxa" w:w="232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15 万元</w:t>
            </w:r>
          </w:p>
        </w:tc>
        <w:tc>
          <w:tcPr>
            <w:tcW w:type="dxa" w:w="238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7.98 亿元</w:t>
            </w:r>
          </w:p>
        </w:tc>
      </w:tr>
      <w:tr>
        <w:trPr>
          <w:cantSplit/>
        </w:trPr>
        <w:tc>
          <w:tcPr>
            <w:tcW w:type="dxa" w:w="232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基准</w:t>
            </w:r>
          </w:p>
        </w:tc>
        <w:tc>
          <w:tcPr>
            <w:tcW w:type="dxa" w:w="232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5,321</w:t>
            </w:r>
          </w:p>
        </w:tc>
        <w:tc>
          <w:tcPr>
            <w:tcW w:type="dxa" w:w="232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30 万元</w:t>
            </w:r>
          </w:p>
        </w:tc>
        <w:tc>
          <w:tcPr>
            <w:tcW w:type="dxa" w:w="238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15.96 亿元</w:t>
            </w:r>
          </w:p>
        </w:tc>
      </w:tr>
      <w:tr>
        <w:trPr>
          <w:cantSplit/>
        </w:trPr>
        <w:tc>
          <w:tcPr>
            <w:tcW w:type="dxa" w:w="232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高位</w:t>
            </w:r>
          </w:p>
        </w:tc>
        <w:tc>
          <w:tcPr>
            <w:tcW w:type="dxa" w:w="232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5,321</w:t>
            </w:r>
          </w:p>
        </w:tc>
        <w:tc>
          <w:tcPr>
            <w:tcW w:type="dxa" w:w="232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80 万元</w:t>
            </w:r>
          </w:p>
        </w:tc>
        <w:tc>
          <w:tcPr>
            <w:tcW w:type="dxa" w:w="238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42.57 亿元</w:t>
            </w:r>
          </w:p>
        </w:tc>
      </w:tr>
    </w:tbl>
    <w:p>
      <w:pPr>
        <w:spacing w:after="0"/>
      </w:pPr>
    </w:p>
    <w:p>
      <w:r>
        <w:rPr>
          <w:rFonts w:ascii="Calibri" w:hAnsi="Calibri" w:eastAsia="Microsoft YaHei"/>
          <w:b w:val="0"/>
          <w:color w:val="1F2937"/>
          <w:sz w:val="22"/>
        </w:rPr>
        <w:t xml:space="preserve">该估算尚未计入 20 人以下精品所、企业法务、政府法律服务和私有化建设费，也没有扣除实际采用率。因此它只能作为 </w:t>
      </w:r>
      <w:r>
        <w:rPr>
          <w:rFonts w:ascii="Calibri" w:hAnsi="Calibri" w:eastAsia="Microsoft YaHei"/>
          <w:b/>
          <w:color w:val="1F2937"/>
          <w:sz w:val="22"/>
        </w:rPr>
        <w:t>可服务市场（SAM）的价格敏感性边界</w:t>
      </w:r>
      <w:r>
        <w:rPr>
          <w:rFonts w:ascii="Calibri" w:hAnsi="Calibri" w:eastAsia="Microsoft YaHei"/>
          <w:b w:val="0"/>
          <w:color w:val="1F2937"/>
          <w:sz w:val="22"/>
        </w:rPr>
        <w:t>，不能用于融资材料中的确定性 TAM 宣称。前三年更应关注能否赢得 30、100、250 家机构，而不是讨论百亿元故事。</w:t>
      </w:r>
    </w:p>
    <w:p>
      <w:pPr>
        <w:pStyle w:val="Heading2"/>
        <w:keepNext/>
        <w:keepLines/>
      </w:pPr>
      <w:r>
        <w:rPr>
          <w:rFonts w:ascii="Calibri" w:hAnsi="Calibri" w:eastAsia="Microsoft YaHei"/>
          <w:b/>
          <w:color w:val="1F4E79"/>
          <w:sz w:val="26"/>
        </w:rPr>
        <w:t>3.7 为什么现在做，但为什么不能急着扩张</w:t>
      </w:r>
    </w:p>
    <w:p>
      <w:r>
        <w:rPr>
          <w:rFonts w:ascii="Calibri" w:hAnsi="Calibri" w:eastAsia="Microsoft YaHei"/>
          <w:b w:val="0"/>
          <w:color w:val="1F2937"/>
          <w:sz w:val="22"/>
        </w:rPr>
        <w:t>一方面，全球专业服务的生成式 AI 采用持续增长；Thomson Reuters 2025 年报告基于约 1,700 名法律、税务、风险和政府专业人士，称超过一半受访者以某种方式使用过生成式 AI，80% 的律所受访者预计 AI 将根本改变业务。</w:t>
      </w:r>
      <w:hyperlink r:id="rId24">
        <w:r>
          <w:rPr>
            <w:rFonts w:ascii="Calibri" w:hAnsi="Calibri" w:eastAsia="Microsoft YaHei"/>
            <w:color w:val="1F4E79"/>
            <w:u w:val="single"/>
          </w:rPr>
          <w:t>2025 Generative AI in Professional Services</w:t>
        </w:r>
      </w:hyperlink>
      <w:r>
        <w:rPr>
          <w:rFonts w:ascii="Calibri" w:hAnsi="Calibri" w:eastAsia="Microsoft YaHei"/>
          <w:b w:val="0"/>
          <w:color w:val="1F2937"/>
          <w:sz w:val="22"/>
        </w:rPr>
        <w:t xml:space="preserve"> </w:t>
      </w:r>
      <w:hyperlink r:id="rId25">
        <w:r>
          <w:rPr>
            <w:rFonts w:ascii="Calibri" w:hAnsi="Calibri" w:eastAsia="Microsoft YaHei"/>
            <w:color w:val="1F4E79"/>
            <w:u w:val="single"/>
          </w:rPr>
          <w:t>Future of Professionals 2025</w:t>
        </w:r>
      </w:hyperlink>
    </w:p>
    <w:p>
      <w:r>
        <w:rPr>
          <w:rFonts w:ascii="Calibri" w:hAnsi="Calibri" w:eastAsia="Microsoft YaHei"/>
          <w:b w:val="0"/>
          <w:color w:val="1F2937"/>
          <w:sz w:val="22"/>
        </w:rPr>
        <w:t>另一方面，采用不等于可靠。斯坦福研究对当时领先的 RAG 法律研究产品进行测试，仍发现约 17%—33% 的回答存在幻觉；其司法辖区与产品版本不同于中国市场，但足以证明“接了权威库就不会错”是危险假设。</w:t>
      </w:r>
      <w:hyperlink r:id="rId26">
        <w:r>
          <w:rPr>
            <w:rFonts w:ascii="Calibri" w:hAnsi="Calibri" w:eastAsia="Microsoft YaHei"/>
            <w:color w:val="1F4E79"/>
            <w:u w:val="single"/>
          </w:rPr>
          <w:t>Hallucination-Free? Assessing the Reliability of Leading AI Legal Research Tools</w:t>
        </w:r>
      </w:hyperlink>
    </w:p>
    <w:p>
      <w:r>
        <w:rPr>
          <w:rFonts w:ascii="Calibri" w:hAnsi="Calibri" w:eastAsia="Microsoft YaHei"/>
          <w:b w:val="0"/>
          <w:color w:val="1F2937"/>
          <w:sz w:val="22"/>
        </w:rPr>
        <w:t xml:space="preserve">所以正确窗口不是立即自动化律师，而是立即建设 </w:t>
      </w:r>
      <w:r>
        <w:rPr>
          <w:rFonts w:ascii="Calibri" w:hAnsi="Calibri" w:eastAsia="Microsoft YaHei"/>
          <w:b/>
          <w:color w:val="1F2937"/>
          <w:sz w:val="22"/>
        </w:rPr>
        <w:t>可验证、可监督、能量化净效率</w:t>
      </w:r>
      <w:r>
        <w:rPr>
          <w:rFonts w:ascii="Calibri" w:hAnsi="Calibri" w:eastAsia="Microsoft YaHei"/>
          <w:b w:val="0"/>
          <w:color w:val="1F2937"/>
          <w:sz w:val="22"/>
        </w:rPr>
        <w:t xml:space="preserve"> 的基础设施。</w:t>
      </w:r>
    </w:p>
    <w:p>
      <w:pPr>
        <w:pStyle w:val="Heading1"/>
        <w:keepNext/>
        <w:keepLines/>
      </w:pPr>
      <w:r>
        <w:rPr>
          <w:rFonts w:ascii="Calibri" w:hAnsi="Calibri" w:eastAsia="Microsoft YaHei"/>
          <w:b/>
          <w:color w:val="1F4E79"/>
          <w:sz w:val="32"/>
        </w:rPr>
        <w:t>四、产品定义与范围</w:t>
      </w:r>
    </w:p>
    <w:p>
      <w:pPr>
        <w:pStyle w:val="Heading2"/>
        <w:keepNext/>
        <w:keepLines/>
      </w:pPr>
      <w:r>
        <w:rPr>
          <w:rFonts w:ascii="Calibri" w:hAnsi="Calibri" w:eastAsia="Microsoft YaHei"/>
          <w:b/>
          <w:color w:val="1F4E79"/>
          <w:sz w:val="26"/>
        </w:rPr>
        <w:t>4.1 产品定义</w:t>
      </w:r>
    </w:p>
    <w:p>
      <w:r>
        <w:rPr>
          <w:rFonts w:ascii="Calibri" w:hAnsi="Calibri" w:eastAsia="Microsoft YaHei"/>
          <w:b w:val="0"/>
          <w:color w:val="1F2937"/>
          <w:sz w:val="22"/>
        </w:rPr>
        <w:t>工作名称：</w:t>
      </w:r>
      <w:r>
        <w:rPr>
          <w:rFonts w:ascii="Calibri" w:hAnsi="Calibri" w:eastAsia="Microsoft YaHei"/>
          <w:b/>
          <w:color w:val="1F2937"/>
          <w:sz w:val="22"/>
        </w:rPr>
        <w:t>Hermes Legal Matter OS（案件工作操作系统）</w:t>
      </w:r>
      <w:r>
        <w:rPr>
          <w:rFonts w:ascii="Calibri" w:hAnsi="Calibri" w:eastAsia="Microsoft YaHei"/>
          <w:b w:val="0"/>
          <w:color w:val="1F2937"/>
          <w:sz w:val="22"/>
        </w:rPr>
        <w:t>。中文对外名称应避免“自动律所”，可在客户访谈中测试“案件镜”“证据链工作台”“智案协作台”等方向。</w:t>
      </w:r>
    </w:p>
    <w:p>
      <w:r>
        <w:rPr>
          <w:rFonts w:ascii="Calibri" w:hAnsi="Calibri" w:eastAsia="Microsoft YaHei"/>
          <w:b w:val="0"/>
          <w:color w:val="1F2937"/>
          <w:sz w:val="22"/>
        </w:rPr>
        <w:t>核心承诺：</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从原始材料到律师可审的案件工作包，重要事实逐条有证据定位，重要法律结论逐条有有效法源，任何外部动作均由有权限的人确认。</w:t>
            </w:r>
          </w:p>
        </w:tc>
      </w:tr>
    </w:tbl>
    <w:p>
      <w:pPr>
        <w:spacing w:after="0"/>
      </w:pPr>
    </w:p>
    <w:p>
      <w:pPr>
        <w:pStyle w:val="Heading2"/>
        <w:keepNext/>
        <w:keepLines/>
      </w:pPr>
      <w:r>
        <w:rPr>
          <w:rFonts w:ascii="Calibri" w:hAnsi="Calibri" w:eastAsia="Microsoft YaHei"/>
          <w:b/>
          <w:color w:val="1F4E79"/>
          <w:sz w:val="26"/>
        </w:rPr>
        <w:t>4.2 明确不做的功能</w:t>
      </w:r>
    </w:p>
    <w:p>
      <w:r>
        <w:rPr>
          <w:rFonts w:ascii="Calibri" w:hAnsi="Calibri" w:eastAsia="Microsoft YaHei"/>
          <w:b w:val="0"/>
          <w:color w:val="1F2937"/>
          <w:sz w:val="22"/>
        </w:rPr>
        <w:t>MVP 和收费 V1 均不得提供：</w:t>
      </w:r>
    </w:p>
    <w:p>
      <w:pPr>
        <w:pStyle w:val="ListBullet"/>
        <w:keepLines/>
      </w:pPr>
      <w:r>
        <w:rPr>
          <w:rFonts w:ascii="Calibri" w:hAnsi="Calibri" w:eastAsia="Microsoft YaHei"/>
          <w:b w:val="0"/>
          <w:color w:val="1F2937"/>
          <w:sz w:val="22"/>
        </w:rPr>
        <w:t>面向公众的无人法律咨询或“AI 律师”人格化陪伴；</w:t>
      </w:r>
    </w:p>
    <w:p>
      <w:pPr>
        <w:pStyle w:val="ListBullet"/>
        <w:keepLines/>
      </w:pPr>
      <w:r>
        <w:rPr>
          <w:rFonts w:ascii="Calibri" w:hAnsi="Calibri" w:eastAsia="Microsoft YaHei"/>
          <w:b w:val="0"/>
          <w:color w:val="1F2937"/>
          <w:sz w:val="22"/>
        </w:rPr>
        <w:t>自动接受委托、报价、签约、收费或形成律师—客户关系；</w:t>
      </w:r>
    </w:p>
    <w:p>
      <w:pPr>
        <w:pStyle w:val="ListBullet"/>
        <w:keepLines/>
      </w:pPr>
      <w:r>
        <w:rPr>
          <w:rFonts w:ascii="Calibri" w:hAnsi="Calibri" w:eastAsia="Microsoft YaHei"/>
          <w:b w:val="0"/>
          <w:color w:val="1F2937"/>
          <w:sz w:val="22"/>
        </w:rPr>
        <w:t>自动向法院、仲裁机构、客户、对方或社交媒体提交/发送内容；</w:t>
      </w:r>
    </w:p>
    <w:p>
      <w:pPr>
        <w:pStyle w:val="ListBullet"/>
        <w:keepLines/>
      </w:pPr>
      <w:r>
        <w:rPr>
          <w:rFonts w:ascii="Calibri" w:hAnsi="Calibri" w:eastAsia="Microsoft YaHei"/>
          <w:b w:val="0"/>
          <w:color w:val="1F2937"/>
          <w:sz w:val="22"/>
        </w:rPr>
        <w:t>胜诉率、量刑、赔偿额的确定性预测或保证；</w:t>
      </w:r>
    </w:p>
    <w:p>
      <w:pPr>
        <w:pStyle w:val="ListBullet"/>
        <w:keepLines/>
      </w:pPr>
      <w:r>
        <w:rPr>
          <w:rFonts w:ascii="Calibri" w:hAnsi="Calibri" w:eastAsia="Microsoft YaHei"/>
          <w:b w:val="0"/>
          <w:color w:val="1F2937"/>
          <w:sz w:val="22"/>
        </w:rPr>
        <w:t>代替律师决定诉讼请求、和解底线、证据取舍和是否披露；</w:t>
      </w:r>
    </w:p>
    <w:p>
      <w:pPr>
        <w:pStyle w:val="ListBullet"/>
        <w:keepLines/>
      </w:pPr>
      <w:r>
        <w:rPr>
          <w:rFonts w:ascii="Calibri" w:hAnsi="Calibri" w:eastAsia="Microsoft YaHei"/>
          <w:b w:val="0"/>
          <w:color w:val="1F2937"/>
          <w:sz w:val="22"/>
        </w:rPr>
        <w:t>自动改写、覆盖或删除证据原件；</w:t>
      </w:r>
    </w:p>
    <w:p>
      <w:pPr>
        <w:pStyle w:val="ListBullet"/>
        <w:keepLines/>
      </w:pPr>
      <w:r>
        <w:rPr>
          <w:rFonts w:ascii="Calibri" w:hAnsi="Calibri" w:eastAsia="Microsoft YaHei"/>
          <w:b w:val="0"/>
          <w:color w:val="1F2937"/>
          <w:sz w:val="22"/>
        </w:rPr>
        <w:t>用客户案件材料训练通用模型，除非存在单独、明确、可撤回的合法授权且完成影响评估；</w:t>
      </w:r>
    </w:p>
    <w:p>
      <w:pPr>
        <w:pStyle w:val="ListBullet"/>
        <w:keepLines/>
      </w:pPr>
      <w:r>
        <w:rPr>
          <w:rFonts w:ascii="Calibri" w:hAnsi="Calibri" w:eastAsia="Microsoft YaHei"/>
          <w:b w:val="0"/>
          <w:color w:val="1F2937"/>
          <w:sz w:val="22"/>
        </w:rPr>
        <w:t>在普通 SaaS 环境处理国家秘密、工作秘密或客户认定需要专门保密系统的材料；</w:t>
      </w:r>
    </w:p>
    <w:p>
      <w:pPr>
        <w:pStyle w:val="ListBullet"/>
        <w:keepLines/>
      </w:pPr>
      <w:r>
        <w:rPr>
          <w:rFonts w:ascii="Calibri" w:hAnsi="Calibri" w:eastAsia="Microsoft YaHei"/>
          <w:b w:val="0"/>
          <w:color w:val="1F2937"/>
          <w:sz w:val="22"/>
        </w:rPr>
        <w:t>让案件智能体访问宿主机终端、个人网盘、个人邮箱或无关案件。</w:t>
      </w:r>
    </w:p>
    <w:p>
      <w:pPr>
        <w:pStyle w:val="Heading2"/>
        <w:keepNext/>
        <w:keepLines/>
      </w:pPr>
      <w:r>
        <w:rPr>
          <w:rFonts w:ascii="Calibri" w:hAnsi="Calibri" w:eastAsia="Microsoft YaHei"/>
          <w:b/>
          <w:color w:val="1F4E79"/>
          <w:sz w:val="26"/>
        </w:rPr>
        <w:t>4.3 用户角色</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208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角色</w:t>
            </w:r>
          </w:p>
        </w:tc>
        <w:tc>
          <w:tcPr>
            <w:tcW w:type="dxa" w:w="353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可做</w:t>
            </w:r>
          </w:p>
        </w:tc>
        <w:tc>
          <w:tcPr>
            <w:tcW w:type="dxa" w:w="374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不可做</w:t>
            </w:r>
          </w:p>
        </w:tc>
      </w:tr>
      <w:tr>
        <w:trPr>
          <w:cantSplit/>
        </w:trPr>
        <w:tc>
          <w:tcPr>
            <w:tcW w:type="dxa" w:w="20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案件负责人/主办律师</w:t>
            </w:r>
          </w:p>
        </w:tc>
        <w:tc>
          <w:tcPr>
            <w:tcW w:type="dxa" w:w="353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设定范围、确认事实、批准策略和外发</w:t>
            </w:r>
          </w:p>
        </w:tc>
        <w:tc>
          <w:tcPr>
            <w:tcW w:type="dxa" w:w="374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绕过伦理墙访问其他团队案件</w:t>
            </w:r>
          </w:p>
        </w:tc>
      </w:tr>
      <w:tr>
        <w:trPr>
          <w:cantSplit/>
        </w:trPr>
        <w:tc>
          <w:tcPr>
            <w:tcW w:type="dxa" w:w="20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承办律师</w:t>
            </w:r>
          </w:p>
        </w:tc>
        <w:tc>
          <w:tcPr>
            <w:tcW w:type="dxa" w:w="353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上传、校对、创建任务、编辑工作成果</w:t>
            </w:r>
          </w:p>
        </w:tc>
        <w:tc>
          <w:tcPr>
            <w:tcW w:type="dxa" w:w="374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最终对外提交（除非被授权）</w:t>
            </w:r>
          </w:p>
        </w:tc>
      </w:tr>
      <w:tr>
        <w:trPr>
          <w:cantSplit/>
        </w:trPr>
        <w:tc>
          <w:tcPr>
            <w:tcW w:type="dxa" w:w="20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律师助理/实习人员</w:t>
            </w:r>
          </w:p>
        </w:tc>
        <w:tc>
          <w:tcPr>
            <w:tcW w:type="dxa" w:w="353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整理、标注、提出修订</w:t>
            </w:r>
          </w:p>
        </w:tc>
        <w:tc>
          <w:tcPr>
            <w:tcW w:type="dxa" w:w="374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批准最终法律结论</w:t>
            </w:r>
          </w:p>
        </w:tc>
      </w:tr>
      <w:tr>
        <w:trPr>
          <w:cantSplit/>
        </w:trPr>
        <w:tc>
          <w:tcPr>
            <w:tcW w:type="dxa" w:w="20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知识管理员</w:t>
            </w:r>
          </w:p>
        </w:tc>
        <w:tc>
          <w:tcPr>
            <w:tcW w:type="dxa" w:w="353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管理模板、律所知识和法源授权</w:t>
            </w:r>
          </w:p>
        </w:tc>
        <w:tc>
          <w:tcPr>
            <w:tcW w:type="dxa" w:w="374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查看无授权案件事实</w:t>
            </w:r>
          </w:p>
        </w:tc>
      </w:tr>
      <w:tr>
        <w:trPr>
          <w:cantSplit/>
        </w:trPr>
        <w:tc>
          <w:tcPr>
            <w:tcW w:type="dxa" w:w="20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合规/安全管理员</w:t>
            </w:r>
          </w:p>
        </w:tc>
        <w:tc>
          <w:tcPr>
            <w:tcW w:type="dxa" w:w="353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看策略、告警和审计元数据</w:t>
            </w:r>
          </w:p>
        </w:tc>
        <w:tc>
          <w:tcPr>
            <w:tcW w:type="dxa" w:w="374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默认读取案件正文</w:t>
            </w:r>
          </w:p>
        </w:tc>
      </w:tr>
      <w:tr>
        <w:trPr>
          <w:cantSplit/>
        </w:trPr>
        <w:tc>
          <w:tcPr>
            <w:tcW w:type="dxa" w:w="20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客户协作用户</w:t>
            </w:r>
          </w:p>
        </w:tc>
        <w:tc>
          <w:tcPr>
            <w:tcW w:type="dxa" w:w="353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在受控门户查看/补充指定材料</w:t>
            </w:r>
          </w:p>
        </w:tc>
        <w:tc>
          <w:tcPr>
            <w:tcW w:type="dxa" w:w="374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浏览内部策略、对方画像、其他客户数据</w:t>
            </w:r>
          </w:p>
        </w:tc>
      </w:tr>
      <w:tr>
        <w:trPr>
          <w:cantSplit/>
        </w:trPr>
        <w:tc>
          <w:tcPr>
            <w:tcW w:type="dxa" w:w="20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系统/模型管理员</w:t>
            </w:r>
          </w:p>
        </w:tc>
        <w:tc>
          <w:tcPr>
            <w:tcW w:type="dxa" w:w="353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管模型版本、供应商和容量</w:t>
            </w:r>
          </w:p>
        </w:tc>
        <w:tc>
          <w:tcPr>
            <w:tcW w:type="dxa" w:w="374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默认解密案件内容</w:t>
            </w:r>
          </w:p>
        </w:tc>
      </w:tr>
      <w:tr>
        <w:trPr>
          <w:cantSplit/>
        </w:trPr>
        <w:tc>
          <w:tcPr>
            <w:tcW w:type="dxa" w:w="20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外部专家</w:t>
            </w:r>
          </w:p>
        </w:tc>
        <w:tc>
          <w:tcPr>
            <w:tcW w:type="dxa" w:w="353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查看被案件负责人授权的最小材料包</w:t>
            </w:r>
          </w:p>
        </w:tc>
        <w:tc>
          <w:tcPr>
            <w:tcW w:type="dxa" w:w="374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下载全部案件或转授权</w:t>
            </w:r>
          </w:p>
        </w:tc>
      </w:tr>
    </w:tbl>
    <w:p>
      <w:pPr>
        <w:spacing w:after="0"/>
      </w:pPr>
    </w:p>
    <w:p>
      <w:pPr>
        <w:pStyle w:val="Heading2"/>
        <w:keepNext/>
        <w:keepLines/>
      </w:pPr>
      <w:r>
        <w:rPr>
          <w:rFonts w:ascii="Calibri" w:hAnsi="Calibri" w:eastAsia="Microsoft YaHei"/>
          <w:b/>
          <w:color w:val="1F4E79"/>
          <w:sz w:val="26"/>
        </w:rPr>
        <w:t>4.4 功能优先级</w:t>
      </w:r>
    </w:p>
    <w:p>
      <w:pPr>
        <w:pStyle w:val="Heading3"/>
        <w:keepNext/>
        <w:keepLines/>
      </w:pPr>
      <w:r>
        <w:rPr>
          <w:rFonts w:ascii="Calibri" w:hAnsi="Calibri" w:eastAsia="Microsoft YaHei"/>
          <w:b/>
          <w:color w:val="17365D"/>
          <w:sz w:val="24"/>
        </w:rPr>
        <w:t>P0：闭环必需</w:t>
      </w:r>
    </w:p>
    <w:p>
      <w:pPr>
        <w:pStyle w:val="ListBullet"/>
        <w:keepLines/>
      </w:pPr>
      <w:r>
        <w:rPr>
          <w:rFonts w:ascii="Calibri" w:hAnsi="Calibri" w:eastAsia="Microsoft YaHei"/>
          <w:b w:val="0"/>
          <w:color w:val="1F2937"/>
          <w:sz w:val="22"/>
        </w:rPr>
        <w:t>机构、团队、客户、案件、角色和伦理墙；</w:t>
      </w:r>
    </w:p>
    <w:p>
      <w:pPr>
        <w:pStyle w:val="ListBullet"/>
        <w:keepLines/>
      </w:pPr>
      <w:r>
        <w:rPr>
          <w:rFonts w:ascii="Calibri" w:hAnsi="Calibri" w:eastAsia="Microsoft YaHei"/>
          <w:b w:val="0"/>
          <w:color w:val="1F2937"/>
          <w:sz w:val="22"/>
        </w:rPr>
        <w:t>案件接收清单、权限确认与利益冲突标识；</w:t>
      </w:r>
    </w:p>
    <w:p>
      <w:pPr>
        <w:pStyle w:val="ListBullet"/>
        <w:keepLines/>
      </w:pPr>
      <w:r>
        <w:rPr>
          <w:rFonts w:ascii="Calibri" w:hAnsi="Calibri" w:eastAsia="Microsoft YaHei"/>
          <w:b w:val="0"/>
          <w:color w:val="1F2937"/>
          <w:sz w:val="22"/>
        </w:rPr>
        <w:t>原件哈希、不可变存储、恶意文件检查、OCR、页码与版面坐标；</w:t>
      </w:r>
    </w:p>
    <w:p>
      <w:pPr>
        <w:pStyle w:val="ListBullet"/>
        <w:keepLines/>
      </w:pPr>
      <w:r>
        <w:rPr>
          <w:rFonts w:ascii="Calibri" w:hAnsi="Calibri" w:eastAsia="Microsoft YaHei"/>
          <w:b w:val="0"/>
          <w:color w:val="1F2937"/>
          <w:sz w:val="22"/>
        </w:rPr>
        <w:t>文档去重、版本/附件关系和证据编号；</w:t>
      </w:r>
    </w:p>
    <w:p>
      <w:pPr>
        <w:pStyle w:val="ListBullet"/>
        <w:keepLines/>
      </w:pPr>
      <w:r>
        <w:rPr>
          <w:rFonts w:ascii="Calibri" w:hAnsi="Calibri" w:eastAsia="Microsoft YaHei"/>
          <w:b w:val="0"/>
          <w:color w:val="1F2937"/>
          <w:sz w:val="22"/>
        </w:rPr>
        <w:t>人物/组织/合同/账号/金额/日期实体抽取；</w:t>
      </w:r>
    </w:p>
    <w:p>
      <w:pPr>
        <w:pStyle w:val="ListBullet"/>
        <w:keepLines/>
      </w:pPr>
      <w:r>
        <w:rPr>
          <w:rFonts w:ascii="Calibri" w:hAnsi="Calibri" w:eastAsia="Microsoft YaHei"/>
          <w:b w:val="0"/>
          <w:color w:val="1F2937"/>
          <w:sz w:val="22"/>
        </w:rPr>
        <w:t>来源可点击的事实时间线；</w:t>
      </w:r>
    </w:p>
    <w:p>
      <w:pPr>
        <w:pStyle w:val="ListBullet"/>
        <w:keepLines/>
      </w:pPr>
      <w:r>
        <w:rPr>
          <w:rFonts w:ascii="Calibri" w:hAnsi="Calibri" w:eastAsia="Microsoft YaHei"/>
          <w:b w:val="0"/>
          <w:color w:val="1F2937"/>
          <w:sz w:val="22"/>
        </w:rPr>
        <w:t>要件—事实—证据—反证—缺口矩阵；</w:t>
      </w:r>
    </w:p>
    <w:p>
      <w:pPr>
        <w:pStyle w:val="ListBullet"/>
        <w:keepLines/>
      </w:pPr>
      <w:r>
        <w:rPr>
          <w:rFonts w:ascii="Calibri" w:hAnsi="Calibri" w:eastAsia="Microsoft YaHei"/>
          <w:b w:val="0"/>
          <w:color w:val="1F2937"/>
          <w:sz w:val="22"/>
        </w:rPr>
        <w:t>案件内问答，回答必须引用原件页码；</w:t>
      </w:r>
    </w:p>
    <w:p>
      <w:pPr>
        <w:pStyle w:val="ListBullet"/>
        <w:keepLines/>
      </w:pPr>
      <w:r>
        <w:rPr>
          <w:rFonts w:ascii="Calibri" w:hAnsi="Calibri" w:eastAsia="Microsoft YaHei"/>
          <w:b w:val="0"/>
          <w:color w:val="1F2937"/>
          <w:sz w:val="22"/>
        </w:rPr>
        <w:t>待审工作成果、修订、审批与导出清单；</w:t>
      </w:r>
    </w:p>
    <w:p>
      <w:pPr>
        <w:pStyle w:val="ListBullet"/>
        <w:keepLines/>
      </w:pPr>
      <w:r>
        <w:rPr>
          <w:rFonts w:ascii="Calibri" w:hAnsi="Calibri" w:eastAsia="Microsoft YaHei"/>
          <w:b w:val="0"/>
          <w:color w:val="1F2937"/>
          <w:sz w:val="22"/>
        </w:rPr>
        <w:t>模型网关、内容 DLP、全量审计和质量评测。</w:t>
      </w:r>
    </w:p>
    <w:p>
      <w:pPr>
        <w:pStyle w:val="Heading3"/>
        <w:keepNext/>
        <w:keepLines/>
      </w:pPr>
      <w:r>
        <w:rPr>
          <w:rFonts w:ascii="Calibri" w:hAnsi="Calibri" w:eastAsia="Microsoft YaHei"/>
          <w:b/>
          <w:color w:val="17365D"/>
          <w:sz w:val="24"/>
        </w:rPr>
        <w:t>P1：形成付费差异</w:t>
      </w:r>
    </w:p>
    <w:p>
      <w:pPr>
        <w:pStyle w:val="ListBullet"/>
        <w:keepLines/>
      </w:pPr>
      <w:r>
        <w:rPr>
          <w:rFonts w:ascii="Calibri" w:hAnsi="Calibri" w:eastAsia="Microsoft YaHei"/>
          <w:b w:val="0"/>
          <w:color w:val="1F2937"/>
          <w:sz w:val="22"/>
        </w:rPr>
        <w:t>法规、司法解释和权威案例的有效性/时点检索；</w:t>
      </w:r>
    </w:p>
    <w:p>
      <w:pPr>
        <w:pStyle w:val="ListBullet"/>
        <w:keepLines/>
      </w:pPr>
      <w:r>
        <w:rPr>
          <w:rFonts w:ascii="Calibri" w:hAnsi="Calibri" w:eastAsia="Microsoft YaHei"/>
          <w:b w:val="0"/>
          <w:color w:val="1F2937"/>
          <w:sz w:val="22"/>
        </w:rPr>
        <w:t>争点树、请求权候选和对方主张模拟；</w:t>
      </w:r>
    </w:p>
    <w:p>
      <w:pPr>
        <w:pStyle w:val="ListBullet"/>
        <w:keepLines/>
      </w:pPr>
      <w:r>
        <w:rPr>
          <w:rFonts w:ascii="Calibri" w:hAnsi="Calibri" w:eastAsia="Microsoft YaHei"/>
          <w:b w:val="0"/>
          <w:color w:val="1F2937"/>
          <w:sz w:val="22"/>
        </w:rPr>
        <w:t>Word 插件、律所模板、文风和引用格式；</w:t>
      </w:r>
    </w:p>
    <w:p>
      <w:pPr>
        <w:pStyle w:val="ListBullet"/>
        <w:keepLines/>
      </w:pPr>
      <w:r>
        <w:rPr>
          <w:rFonts w:ascii="Calibri" w:hAnsi="Calibri" w:eastAsia="Microsoft YaHei"/>
          <w:b w:val="0"/>
          <w:color w:val="1F2937"/>
          <w:sz w:val="22"/>
        </w:rPr>
        <w:t>批量金额/利息/期限计算器（确定性代码并保留输入）；</w:t>
      </w:r>
    </w:p>
    <w:p>
      <w:pPr>
        <w:pStyle w:val="ListBullet"/>
        <w:keepLines/>
      </w:pPr>
      <w:r>
        <w:rPr>
          <w:rFonts w:ascii="Calibri" w:hAnsi="Calibri" w:eastAsia="Microsoft YaHei"/>
          <w:b w:val="0"/>
          <w:color w:val="1F2937"/>
          <w:sz w:val="22"/>
        </w:rPr>
        <w:t>DMS、OA、邮箱和企业微信/钉钉的受控连接器；</w:t>
      </w:r>
    </w:p>
    <w:p>
      <w:pPr>
        <w:pStyle w:val="ListBullet"/>
        <w:keepLines/>
      </w:pPr>
      <w:r>
        <w:rPr>
          <w:rFonts w:ascii="Calibri" w:hAnsi="Calibri" w:eastAsia="Microsoft YaHei"/>
          <w:b w:val="0"/>
          <w:color w:val="1F2937"/>
          <w:sz w:val="22"/>
        </w:rPr>
        <w:t>团队复核看板、质量抽样和案件复盘；</w:t>
      </w:r>
    </w:p>
    <w:p>
      <w:pPr>
        <w:pStyle w:val="ListBullet"/>
        <w:keepLines/>
      </w:pPr>
      <w:r>
        <w:rPr>
          <w:rFonts w:ascii="Calibri" w:hAnsi="Calibri" w:eastAsia="Microsoft YaHei"/>
          <w:b w:val="0"/>
          <w:color w:val="1F2937"/>
          <w:sz w:val="22"/>
        </w:rPr>
        <w:t>私有化部署、BYOK 和客户自选模型。</w:t>
      </w:r>
    </w:p>
    <w:p>
      <w:pPr>
        <w:pStyle w:val="Heading3"/>
        <w:keepNext/>
        <w:keepLines/>
      </w:pPr>
      <w:r>
        <w:rPr>
          <w:rFonts w:ascii="Calibri" w:hAnsi="Calibri" w:eastAsia="Microsoft YaHei"/>
          <w:b/>
          <w:color w:val="17365D"/>
          <w:sz w:val="24"/>
        </w:rPr>
        <w:t>P2：规模化能力</w:t>
      </w:r>
    </w:p>
    <w:p>
      <w:pPr>
        <w:pStyle w:val="ListBullet"/>
        <w:keepLines/>
      </w:pPr>
      <w:r>
        <w:rPr>
          <w:rFonts w:ascii="Calibri" w:hAnsi="Calibri" w:eastAsia="Microsoft YaHei"/>
          <w:b w:val="0"/>
          <w:color w:val="1F2937"/>
          <w:sz w:val="22"/>
        </w:rPr>
        <w:t>第二案由 playbook；</w:t>
      </w:r>
    </w:p>
    <w:p>
      <w:pPr>
        <w:pStyle w:val="ListBullet"/>
        <w:keepLines/>
      </w:pPr>
      <w:r>
        <w:rPr>
          <w:rFonts w:ascii="Calibri" w:hAnsi="Calibri" w:eastAsia="Microsoft YaHei"/>
          <w:b w:val="0"/>
          <w:color w:val="1F2937"/>
          <w:sz w:val="22"/>
        </w:rPr>
        <w:t>跨案件但去标识、授权的知识提炼；</w:t>
      </w:r>
    </w:p>
    <w:p>
      <w:pPr>
        <w:pStyle w:val="ListBullet"/>
        <w:keepLines/>
      </w:pPr>
      <w:r>
        <w:rPr>
          <w:rFonts w:ascii="Calibri" w:hAnsi="Calibri" w:eastAsia="Microsoft YaHei"/>
          <w:b w:val="0"/>
          <w:color w:val="1F2937"/>
          <w:sz w:val="22"/>
        </w:rPr>
        <w:t>客户门户、项目预算和工作量预测；</w:t>
      </w:r>
    </w:p>
    <w:p>
      <w:pPr>
        <w:pStyle w:val="ListBullet"/>
        <w:keepLines/>
      </w:pPr>
      <w:r>
        <w:rPr>
          <w:rFonts w:ascii="Calibri" w:hAnsi="Calibri" w:eastAsia="Microsoft YaHei"/>
          <w:b w:val="0"/>
          <w:color w:val="1F2937"/>
          <w:sz w:val="22"/>
        </w:rPr>
        <w:t>电子取证式批量审阅与抽样；</w:t>
      </w:r>
    </w:p>
    <w:p>
      <w:pPr>
        <w:pStyle w:val="ListBullet"/>
        <w:keepLines/>
      </w:pPr>
      <w:r>
        <w:rPr>
          <w:rFonts w:ascii="Calibri" w:hAnsi="Calibri" w:eastAsia="Microsoft YaHei"/>
          <w:b w:val="0"/>
          <w:color w:val="1F2937"/>
          <w:sz w:val="22"/>
        </w:rPr>
        <w:t>多语言涉外案件材料；</w:t>
      </w:r>
    </w:p>
    <w:p>
      <w:pPr>
        <w:pStyle w:val="ListBullet"/>
        <w:keepLines/>
      </w:pPr>
      <w:r>
        <w:rPr>
          <w:rFonts w:ascii="Calibri" w:hAnsi="Calibri" w:eastAsia="Microsoft YaHei"/>
          <w:b w:val="0"/>
          <w:color w:val="1F2937"/>
          <w:sz w:val="22"/>
        </w:rPr>
        <w:t>合规报告自动生成、供应商风险看板和模型回归监控。</w:t>
      </w:r>
    </w:p>
    <w:p>
      <w:pPr>
        <w:pStyle w:val="Heading3"/>
        <w:keepNext/>
        <w:keepLines/>
      </w:pPr>
      <w:r>
        <w:rPr>
          <w:rFonts w:ascii="Calibri" w:hAnsi="Calibri" w:eastAsia="Microsoft YaHei"/>
          <w:b/>
          <w:color w:val="17365D"/>
          <w:sz w:val="24"/>
        </w:rPr>
        <w:t>暂不排期</w:t>
      </w:r>
    </w:p>
    <w:p>
      <w:pPr>
        <w:pStyle w:val="ListBullet"/>
        <w:keepLines/>
      </w:pPr>
      <w:r>
        <w:rPr>
          <w:rFonts w:ascii="Calibri" w:hAnsi="Calibri" w:eastAsia="Microsoft YaHei"/>
          <w:b w:val="0"/>
          <w:color w:val="1F2937"/>
          <w:sz w:val="22"/>
        </w:rPr>
        <w:t>自动诉讼结果预测；</w:t>
      </w:r>
    </w:p>
    <w:p>
      <w:pPr>
        <w:pStyle w:val="ListBullet"/>
        <w:keepLines/>
      </w:pPr>
      <w:r>
        <w:rPr>
          <w:rFonts w:ascii="Calibri" w:hAnsi="Calibri" w:eastAsia="Microsoft YaHei"/>
          <w:b w:val="0"/>
          <w:color w:val="1F2937"/>
          <w:sz w:val="22"/>
        </w:rPr>
        <w:t>全自动机器人流程向法院系统提交；</w:t>
      </w:r>
    </w:p>
    <w:p>
      <w:pPr>
        <w:pStyle w:val="ListBullet"/>
        <w:keepLines/>
      </w:pPr>
      <w:r>
        <w:rPr>
          <w:rFonts w:ascii="Calibri" w:hAnsi="Calibri" w:eastAsia="Microsoft YaHei"/>
          <w:b w:val="0"/>
          <w:color w:val="1F2937"/>
          <w:sz w:val="22"/>
        </w:rPr>
        <w:t>公众端法律服务市场；</w:t>
      </w:r>
    </w:p>
    <w:p>
      <w:pPr>
        <w:pStyle w:val="ListBullet"/>
        <w:keepLines/>
      </w:pPr>
      <w:r>
        <w:rPr>
          <w:rFonts w:ascii="Calibri" w:hAnsi="Calibri" w:eastAsia="Microsoft YaHei"/>
          <w:b w:val="0"/>
          <w:color w:val="1F2937"/>
          <w:sz w:val="22"/>
        </w:rPr>
        <w:t>自研基础大模型；</w:t>
      </w:r>
    </w:p>
    <w:p>
      <w:pPr>
        <w:pStyle w:val="ListBullet"/>
        <w:keepLines/>
      </w:pPr>
      <w:r>
        <w:rPr>
          <w:rFonts w:ascii="Calibri" w:hAnsi="Calibri" w:eastAsia="Microsoft YaHei"/>
          <w:b w:val="0"/>
          <w:color w:val="1F2937"/>
          <w:sz w:val="22"/>
        </w:rPr>
        <w:t>自建全国全量法律数据库。</w:t>
      </w:r>
    </w:p>
    <w:p>
      <w:pPr>
        <w:pStyle w:val="Heading2"/>
        <w:keepNext/>
        <w:keepLines/>
      </w:pPr>
      <w:r>
        <w:rPr>
          <w:rFonts w:ascii="Calibri" w:hAnsi="Calibri" w:eastAsia="Microsoft YaHei"/>
          <w:b/>
          <w:color w:val="1F4E79"/>
          <w:sz w:val="26"/>
        </w:rPr>
        <w:t>4.5 案件工作包的验收定义</w:t>
      </w:r>
    </w:p>
    <w:p>
      <w:r>
        <w:rPr>
          <w:rFonts w:ascii="Calibri" w:hAnsi="Calibri" w:eastAsia="Microsoft YaHei"/>
          <w:b w:val="0"/>
          <w:color w:val="1F2937"/>
          <w:sz w:val="22"/>
        </w:rPr>
        <w:t>一个“可交付案件工作包”至少包含：</w:t>
      </w:r>
    </w:p>
    <w:p>
      <w:pPr>
        <w:pStyle w:val="ListNumber"/>
        <w:numPr>
          <w:ilvl w:val="0"/>
          <w:numId w:val="15"/>
        </w:numPr>
        <w:keepLines/>
      </w:pPr>
      <w:r>
        <w:rPr>
          <w:rFonts w:ascii="Calibri" w:hAnsi="Calibri" w:eastAsia="Microsoft YaHei"/>
          <w:b/>
          <w:color w:val="1F2937"/>
          <w:sz w:val="22"/>
        </w:rPr>
        <w:t>原件清单</w:t>
      </w:r>
      <w:r>
        <w:rPr>
          <w:rFonts w:ascii="Calibri" w:hAnsi="Calibri" w:eastAsia="Microsoft YaHei"/>
          <w:b w:val="0"/>
          <w:color w:val="1F2937"/>
          <w:sz w:val="22"/>
        </w:rPr>
        <w:t>：文件名、来源、接收人、接收时间、哈希、页数、处理状态；</w:t>
      </w:r>
    </w:p>
    <w:p>
      <w:pPr>
        <w:pStyle w:val="ListNumber"/>
        <w:numPr>
          <w:ilvl w:val="0"/>
          <w:numId w:val="15"/>
        </w:numPr>
        <w:keepLines/>
      </w:pPr>
      <w:r>
        <w:rPr>
          <w:rFonts w:ascii="Calibri" w:hAnsi="Calibri" w:eastAsia="Microsoft YaHei"/>
          <w:b/>
          <w:color w:val="1F2937"/>
          <w:sz w:val="22"/>
        </w:rPr>
        <w:t>事实时间线</w:t>
      </w:r>
      <w:r>
        <w:rPr>
          <w:rFonts w:ascii="Calibri" w:hAnsi="Calibri" w:eastAsia="Microsoft YaHei"/>
          <w:b w:val="0"/>
          <w:color w:val="1F2937"/>
          <w:sz w:val="22"/>
        </w:rPr>
        <w:t>：每项事件有主体、动作、对象、时间精度、来源页码、置信和律师状态；</w:t>
      </w:r>
    </w:p>
    <w:p>
      <w:pPr>
        <w:pStyle w:val="ListNumber"/>
        <w:numPr>
          <w:ilvl w:val="0"/>
          <w:numId w:val="15"/>
        </w:numPr>
        <w:keepLines/>
      </w:pPr>
      <w:r>
        <w:rPr>
          <w:rFonts w:ascii="Calibri" w:hAnsi="Calibri" w:eastAsia="Microsoft YaHei"/>
          <w:b/>
          <w:color w:val="1F2937"/>
          <w:sz w:val="22"/>
        </w:rPr>
        <w:t>关系图</w:t>
      </w:r>
      <w:r>
        <w:rPr>
          <w:rFonts w:ascii="Calibri" w:hAnsi="Calibri" w:eastAsia="Microsoft YaHei"/>
          <w:b w:val="0"/>
          <w:color w:val="1F2937"/>
          <w:sz w:val="22"/>
        </w:rPr>
        <w:t>：当事人、关联方、合同、付款、通知和程序关系；</w:t>
      </w:r>
    </w:p>
    <w:p>
      <w:pPr>
        <w:pStyle w:val="ListNumber"/>
        <w:numPr>
          <w:ilvl w:val="0"/>
          <w:numId w:val="15"/>
        </w:numPr>
        <w:keepLines/>
      </w:pPr>
      <w:r>
        <w:rPr>
          <w:rFonts w:ascii="Calibri" w:hAnsi="Calibri" w:eastAsia="Microsoft YaHei"/>
          <w:b/>
          <w:color w:val="1F2937"/>
          <w:sz w:val="22"/>
        </w:rPr>
        <w:t>争点/要件矩阵</w:t>
      </w:r>
      <w:r>
        <w:rPr>
          <w:rFonts w:ascii="Calibri" w:hAnsi="Calibri" w:eastAsia="Microsoft YaHei"/>
          <w:b w:val="0"/>
          <w:color w:val="1F2937"/>
          <w:sz w:val="22"/>
        </w:rPr>
        <w:t>：主张、法律依据、构成要件、支持事实、证据、反证、缺口；</w:t>
      </w:r>
    </w:p>
    <w:p>
      <w:pPr>
        <w:pStyle w:val="ListNumber"/>
        <w:numPr>
          <w:ilvl w:val="0"/>
          <w:numId w:val="15"/>
        </w:numPr>
        <w:keepLines/>
      </w:pPr>
      <w:r>
        <w:rPr>
          <w:rFonts w:ascii="Calibri" w:hAnsi="Calibri" w:eastAsia="Microsoft YaHei"/>
          <w:b/>
          <w:color w:val="1F2937"/>
          <w:sz w:val="22"/>
        </w:rPr>
        <w:t>证据目录</w:t>
      </w:r>
      <w:r>
        <w:rPr>
          <w:rFonts w:ascii="Calibri" w:hAnsi="Calibri" w:eastAsia="Microsoft YaHei"/>
          <w:b w:val="0"/>
          <w:color w:val="1F2937"/>
          <w:sz w:val="22"/>
        </w:rPr>
        <w:t>：证明目的、真实性/合法性/关联性风险、原件状态、对方可能异议；</w:t>
      </w:r>
    </w:p>
    <w:p>
      <w:pPr>
        <w:pStyle w:val="ListNumber"/>
        <w:numPr>
          <w:ilvl w:val="0"/>
          <w:numId w:val="15"/>
        </w:numPr>
        <w:keepLines/>
      </w:pPr>
      <w:r>
        <w:rPr>
          <w:rFonts w:ascii="Calibri" w:hAnsi="Calibri" w:eastAsia="Microsoft YaHei"/>
          <w:b/>
          <w:color w:val="1F2937"/>
          <w:sz w:val="22"/>
        </w:rPr>
        <w:t>矛盾与缺口清单</w:t>
      </w:r>
      <w:r>
        <w:rPr>
          <w:rFonts w:ascii="Calibri" w:hAnsi="Calibri" w:eastAsia="Microsoft YaHei"/>
          <w:b w:val="0"/>
          <w:color w:val="1F2937"/>
          <w:sz w:val="22"/>
        </w:rPr>
        <w:t>：冲突陈述、缺失页、金额不一致、时间矛盾、待询问事项；</w:t>
      </w:r>
    </w:p>
    <w:p>
      <w:pPr>
        <w:pStyle w:val="ListNumber"/>
        <w:numPr>
          <w:ilvl w:val="0"/>
          <w:numId w:val="15"/>
        </w:numPr>
        <w:keepLines/>
      </w:pPr>
      <w:r>
        <w:rPr>
          <w:rFonts w:ascii="Calibri" w:hAnsi="Calibri" w:eastAsia="Microsoft YaHei"/>
          <w:b/>
          <w:color w:val="1F2937"/>
          <w:sz w:val="22"/>
        </w:rPr>
        <w:t>法律研究包</w:t>
      </w:r>
      <w:r>
        <w:rPr>
          <w:rFonts w:ascii="Calibri" w:hAnsi="Calibri" w:eastAsia="Microsoft YaHei"/>
          <w:b w:val="0"/>
          <w:color w:val="1F2937"/>
          <w:sz w:val="22"/>
        </w:rPr>
        <w:t>：检索范围、查询式、法源版本、有效状态、相关段落、反向权威；</w:t>
      </w:r>
    </w:p>
    <w:p>
      <w:pPr>
        <w:pStyle w:val="ListNumber"/>
        <w:numPr>
          <w:ilvl w:val="0"/>
          <w:numId w:val="15"/>
        </w:numPr>
        <w:keepLines/>
      </w:pPr>
      <w:r>
        <w:rPr>
          <w:rFonts w:ascii="Calibri" w:hAnsi="Calibri" w:eastAsia="Microsoft YaHei"/>
          <w:b/>
          <w:color w:val="1F2937"/>
          <w:sz w:val="22"/>
        </w:rPr>
        <w:t>工作成果</w:t>
      </w:r>
      <w:r>
        <w:rPr>
          <w:rFonts w:ascii="Calibri" w:hAnsi="Calibri" w:eastAsia="Microsoft YaHei"/>
          <w:b w:val="0"/>
          <w:color w:val="1F2937"/>
          <w:sz w:val="22"/>
        </w:rPr>
        <w:t>：待审初稿、修改痕迹、AI 参与说明、审批记录和导出清单。</w:t>
      </w:r>
    </w:p>
    <w:p>
      <w:pPr>
        <w:pStyle w:val="Heading2"/>
        <w:keepNext/>
        <w:keepLines/>
      </w:pPr>
      <w:r>
        <w:rPr>
          <w:rFonts w:ascii="Calibri" w:hAnsi="Calibri" w:eastAsia="Microsoft YaHei"/>
          <w:b/>
          <w:color w:val="1F4E79"/>
          <w:sz w:val="26"/>
        </w:rPr>
        <w:t>4.6 体验原则：不要做成一个更长的聊天框</w:t>
      </w:r>
    </w:p>
    <w:p>
      <w:r>
        <w:rPr>
          <w:rFonts w:ascii="Calibri" w:hAnsi="Calibri" w:eastAsia="Microsoft YaHei"/>
          <w:b w:val="0"/>
          <w:color w:val="1F2937"/>
          <w:sz w:val="22"/>
        </w:rPr>
        <w:t>首发桌面端建议采用“三栏一底座”：</w:t>
      </w:r>
    </w:p>
    <w:p>
      <w:pPr>
        <w:pStyle w:val="ListBullet"/>
        <w:keepLines/>
      </w:pPr>
      <w:r>
        <w:rPr>
          <w:rFonts w:ascii="Calibri" w:hAnsi="Calibri" w:eastAsia="Microsoft YaHei"/>
          <w:b/>
          <w:color w:val="1F2937"/>
          <w:sz w:val="22"/>
        </w:rPr>
        <w:t>左栏：案件树</w:t>
      </w:r>
      <w:r>
        <w:rPr>
          <w:rFonts w:ascii="Calibri" w:hAnsi="Calibri" w:eastAsia="Microsoft YaHei"/>
          <w:b w:val="0"/>
          <w:color w:val="1F2937"/>
          <w:sz w:val="22"/>
        </w:rPr>
        <w:t>——材料、事实、证据、争点、研究、文书、任务；</w:t>
      </w:r>
    </w:p>
    <w:p>
      <w:pPr>
        <w:pStyle w:val="ListBullet"/>
        <w:keepLines/>
      </w:pPr>
      <w:r>
        <w:rPr>
          <w:rFonts w:ascii="Calibri" w:hAnsi="Calibri" w:eastAsia="Microsoft YaHei"/>
          <w:b/>
          <w:color w:val="1F2937"/>
          <w:sz w:val="22"/>
        </w:rPr>
        <w:t>中栏：结构化工作区</w:t>
      </w:r>
      <w:r>
        <w:rPr>
          <w:rFonts w:ascii="Calibri" w:hAnsi="Calibri" w:eastAsia="Microsoft YaHei"/>
          <w:b w:val="0"/>
          <w:color w:val="1F2937"/>
          <w:sz w:val="22"/>
        </w:rPr>
        <w:t>——时间线、矩阵、图谱、文档或草稿；</w:t>
      </w:r>
    </w:p>
    <w:p>
      <w:pPr>
        <w:pStyle w:val="ListBullet"/>
        <w:keepLines/>
      </w:pPr>
      <w:r>
        <w:rPr>
          <w:rFonts w:ascii="Calibri" w:hAnsi="Calibri" w:eastAsia="Microsoft YaHei"/>
          <w:b/>
          <w:color w:val="1F2937"/>
          <w:sz w:val="22"/>
        </w:rPr>
        <w:t>右栏：来源与审阅器</w:t>
      </w:r>
      <w:r>
        <w:rPr>
          <w:rFonts w:ascii="Calibri" w:hAnsi="Calibri" w:eastAsia="Microsoft YaHei"/>
          <w:b w:val="0"/>
          <w:color w:val="1F2937"/>
          <w:sz w:val="22"/>
        </w:rPr>
        <w:t>——原文页、引用高亮、置信、冲突和批准按钮；</w:t>
      </w:r>
    </w:p>
    <w:p>
      <w:pPr>
        <w:pStyle w:val="ListBullet"/>
        <w:keepLines/>
      </w:pPr>
      <w:r>
        <w:rPr>
          <w:rFonts w:ascii="Calibri" w:hAnsi="Calibri" w:eastAsia="Microsoft YaHei"/>
          <w:b/>
          <w:color w:val="1F2937"/>
          <w:sz w:val="22"/>
        </w:rPr>
        <w:t>底部/侧边智能体区</w:t>
      </w:r>
      <w:r>
        <w:rPr>
          <w:rFonts w:ascii="Calibri" w:hAnsi="Calibri" w:eastAsia="Microsoft YaHei"/>
          <w:b w:val="0"/>
          <w:color w:val="1F2937"/>
          <w:sz w:val="22"/>
        </w:rPr>
        <w:t>——显示当前任务、角色、使用的材料范围、步骤、成本和待审批项。</w:t>
      </w:r>
    </w:p>
    <w:p>
      <w:r>
        <w:rPr>
          <w:rFonts w:ascii="Calibri" w:hAnsi="Calibri" w:eastAsia="Microsoft YaHei"/>
          <w:b w:val="0"/>
          <w:color w:val="1F2937"/>
          <w:sz w:val="22"/>
        </w:rPr>
        <w:t>聊天用于发起任务和追问，不能成为唯一的案件系统。律师应能够直接编辑每一条事实、拖动证据、合并实体、标记争议、比较版本，并看到 AI 为什么给出某项建议。</w:t>
      </w:r>
    </w:p>
    <w:p>
      <w:pPr>
        <w:pStyle w:val="Heading1"/>
        <w:keepNext/>
        <w:keepLines/>
      </w:pPr>
      <w:r>
        <w:rPr>
          <w:rFonts w:ascii="Calibri" w:hAnsi="Calibri" w:eastAsia="Microsoft YaHei"/>
          <w:b/>
          <w:color w:val="1F4E79"/>
          <w:sz w:val="32"/>
        </w:rPr>
        <w:t>五、案件工作流与多智能体设计</w:t>
      </w:r>
    </w:p>
    <w:p>
      <w:pPr>
        <w:pStyle w:val="Heading2"/>
        <w:keepNext/>
        <w:keepLines/>
      </w:pPr>
      <w:r>
        <w:rPr>
          <w:rFonts w:ascii="Calibri" w:hAnsi="Calibri" w:eastAsia="Microsoft YaHei"/>
          <w:b/>
          <w:color w:val="1F4E79"/>
          <w:sz w:val="26"/>
        </w:rPr>
        <w:t>5.1 端到端工作流</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872"/>
        <w:gridCol w:w="1872"/>
        <w:gridCol w:w="1872"/>
        <w:gridCol w:w="1872"/>
        <w:gridCol w:w="1872"/>
      </w:tblGrid>
      <w:tr>
        <w:trPr>
          <w:cantSplit/>
          <w:tblHeader w:val="true"/>
        </w:trPr>
        <w:tc>
          <w:tcPr>
            <w:tcW w:type="dxa" w:w="148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阶段</w:t>
            </w:r>
          </w:p>
        </w:tc>
        <w:tc>
          <w:tcPr>
            <w:tcW w:type="dxa" w:w="341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系统动作</w:t>
            </w:r>
          </w:p>
        </w:tc>
        <w:tc>
          <w:tcPr>
            <w:tcW w:type="dxa" w:w="193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人工责任</w:t>
            </w:r>
          </w:p>
        </w:tc>
        <w:tc>
          <w:tcPr>
            <w:tcW w:type="dxa" w:w="133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主要产物</w:t>
            </w:r>
          </w:p>
        </w:tc>
        <w:tc>
          <w:tcPr>
            <w:tcW w:type="dxa" w:w="118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发布门禁</w:t>
            </w:r>
          </w:p>
        </w:tc>
      </w:tr>
      <w:tr>
        <w:trPr>
          <w:cantSplit/>
        </w:trPr>
        <w:tc>
          <w:tcPr>
            <w:tcW w:type="dxa" w:w="148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0. 案件创建</w:t>
            </w:r>
          </w:p>
        </w:tc>
        <w:tc>
          <w:tcPr>
            <w:tcW w:type="dxa" w:w="34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创建客户/案件、分配负责人、选择保留与部署策略</w:t>
            </w:r>
          </w:p>
        </w:tc>
        <w:tc>
          <w:tcPr>
            <w:tcW w:type="dxa" w:w="19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确认委托范围与冲突检查状态</w:t>
            </w:r>
          </w:p>
        </w:tc>
        <w:tc>
          <w:tcPr>
            <w:tcW w:type="dxa" w:w="13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案件授权单</w:t>
            </w:r>
          </w:p>
        </w:tc>
        <w:tc>
          <w:tcPr>
            <w:tcW w:type="dxa" w:w="11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G0 授权门</w:t>
            </w:r>
          </w:p>
        </w:tc>
      </w:tr>
      <w:tr>
        <w:trPr>
          <w:cantSplit/>
        </w:trPr>
        <w:tc>
          <w:tcPr>
            <w:tcW w:type="dxa" w:w="148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 材料接收</w:t>
            </w:r>
          </w:p>
        </w:tc>
        <w:tc>
          <w:tcPr>
            <w:tcW w:type="dxa" w:w="34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病毒/格式检查、哈希、原件封存、清单化</w:t>
            </w:r>
          </w:p>
        </w:tc>
        <w:tc>
          <w:tcPr>
            <w:tcW w:type="dxa" w:w="19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确认材料来源与完整性</w:t>
            </w:r>
          </w:p>
        </w:tc>
        <w:tc>
          <w:tcPr>
            <w:tcW w:type="dxa" w:w="13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原件清单</w:t>
            </w:r>
          </w:p>
        </w:tc>
        <w:tc>
          <w:tcPr>
            <w:tcW w:type="dxa" w:w="11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G1 完整性门</w:t>
            </w:r>
          </w:p>
        </w:tc>
      </w:tr>
      <w:tr>
        <w:trPr>
          <w:cantSplit/>
        </w:trPr>
        <w:tc>
          <w:tcPr>
            <w:tcW w:type="dxa" w:w="148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 解析与 OCR</w:t>
            </w:r>
          </w:p>
        </w:tc>
        <w:tc>
          <w:tcPr>
            <w:tcW w:type="dxa" w:w="34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文本层、表格、图片、手写/印章检测、页坐标</w:t>
            </w:r>
          </w:p>
        </w:tc>
        <w:tc>
          <w:tcPr>
            <w:tcW w:type="dxa" w:w="19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抽检低置信页</w:t>
            </w:r>
          </w:p>
        </w:tc>
        <w:tc>
          <w:tcPr>
            <w:tcW w:type="dxa" w:w="13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可检索派生件</w:t>
            </w:r>
          </w:p>
        </w:tc>
        <w:tc>
          <w:tcPr>
            <w:tcW w:type="dxa" w:w="11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G1</w:t>
            </w:r>
          </w:p>
        </w:tc>
      </w:tr>
      <w:tr>
        <w:trPr>
          <w:cantSplit/>
        </w:trPr>
        <w:tc>
          <w:tcPr>
            <w:tcW w:type="dxa" w:w="148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3. 实体归一</w:t>
            </w:r>
          </w:p>
        </w:tc>
        <w:tc>
          <w:tcPr>
            <w:tcW w:type="dxa" w:w="34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提取人、组织、合同、账号、金额、日期；合并别名</w:t>
            </w:r>
          </w:p>
        </w:tc>
        <w:tc>
          <w:tcPr>
            <w:tcW w:type="dxa" w:w="19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确认同名/别名与关联关系</w:t>
            </w:r>
          </w:p>
        </w:tc>
        <w:tc>
          <w:tcPr>
            <w:tcW w:type="dxa" w:w="13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实体表/关系图</w:t>
            </w:r>
          </w:p>
        </w:tc>
        <w:tc>
          <w:tcPr>
            <w:tcW w:type="dxa" w:w="11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G2 事实门</w:t>
            </w:r>
          </w:p>
        </w:tc>
      </w:tr>
      <w:tr>
        <w:trPr>
          <w:cantSplit/>
        </w:trPr>
        <w:tc>
          <w:tcPr>
            <w:tcW w:type="dxa" w:w="148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4. 事实时间线</w:t>
            </w:r>
          </w:p>
        </w:tc>
        <w:tc>
          <w:tcPr>
            <w:tcW w:type="dxa" w:w="34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生成事件、来源、时间精度和冲突</w:t>
            </w:r>
          </w:p>
        </w:tc>
        <w:tc>
          <w:tcPr>
            <w:tcW w:type="dxa" w:w="19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接受、修改、驳回关键事实</w:t>
            </w:r>
          </w:p>
        </w:tc>
        <w:tc>
          <w:tcPr>
            <w:tcW w:type="dxa" w:w="13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已确认时间线</w:t>
            </w:r>
          </w:p>
        </w:tc>
        <w:tc>
          <w:tcPr>
            <w:tcW w:type="dxa" w:w="11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G2</w:t>
            </w:r>
          </w:p>
        </w:tc>
      </w:tr>
      <w:tr>
        <w:trPr>
          <w:cantSplit/>
        </w:trPr>
        <w:tc>
          <w:tcPr>
            <w:tcW w:type="dxa" w:w="148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 争点与要件</w:t>
            </w:r>
          </w:p>
        </w:tc>
        <w:tc>
          <w:tcPr>
            <w:tcW w:type="dxa" w:w="34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根据主张候选建立要件框架</w:t>
            </w:r>
          </w:p>
        </w:tc>
        <w:tc>
          <w:tcPr>
            <w:tcW w:type="dxa" w:w="19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主办律师确定分析范围</w:t>
            </w:r>
          </w:p>
        </w:tc>
        <w:tc>
          <w:tcPr>
            <w:tcW w:type="dxa" w:w="13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争点树/要件矩阵</w:t>
            </w:r>
          </w:p>
        </w:tc>
        <w:tc>
          <w:tcPr>
            <w:tcW w:type="dxa" w:w="11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G2</w:t>
            </w:r>
          </w:p>
        </w:tc>
      </w:tr>
      <w:tr>
        <w:trPr>
          <w:cantSplit/>
        </w:trPr>
        <w:tc>
          <w:tcPr>
            <w:tcW w:type="dxa" w:w="148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6. 证据映射</w:t>
            </w:r>
          </w:p>
        </w:tc>
        <w:tc>
          <w:tcPr>
            <w:tcW w:type="dxa" w:w="34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将支持/反对证据映射到事实和要件</w:t>
            </w:r>
          </w:p>
        </w:tc>
        <w:tc>
          <w:tcPr>
            <w:tcW w:type="dxa" w:w="19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判断证明力与证据风险</w:t>
            </w:r>
          </w:p>
        </w:tc>
        <w:tc>
          <w:tcPr>
            <w:tcW w:type="dxa" w:w="13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证据矩阵/缺口清单</w:t>
            </w:r>
          </w:p>
        </w:tc>
        <w:tc>
          <w:tcPr>
            <w:tcW w:type="dxa" w:w="11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G2</w:t>
            </w:r>
          </w:p>
        </w:tc>
      </w:tr>
      <w:tr>
        <w:trPr>
          <w:cantSplit/>
        </w:trPr>
        <w:tc>
          <w:tcPr>
            <w:tcW w:type="dxa" w:w="148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7. 法律研究</w:t>
            </w:r>
          </w:p>
        </w:tc>
        <w:tc>
          <w:tcPr>
            <w:tcW w:type="dxa" w:w="34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检索时点有效的法条、解释、案例及反向权威</w:t>
            </w:r>
          </w:p>
        </w:tc>
        <w:tc>
          <w:tcPr>
            <w:tcW w:type="dxa" w:w="19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确认法源、层级和适用性</w:t>
            </w:r>
          </w:p>
        </w:tc>
        <w:tc>
          <w:tcPr>
            <w:tcW w:type="dxa" w:w="13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检索备忘录</w:t>
            </w:r>
          </w:p>
        </w:tc>
        <w:tc>
          <w:tcPr>
            <w:tcW w:type="dxa" w:w="11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G3 法源门</w:t>
            </w:r>
          </w:p>
        </w:tc>
      </w:tr>
      <w:tr>
        <w:trPr>
          <w:cantSplit/>
        </w:trPr>
        <w:tc>
          <w:tcPr>
            <w:tcW w:type="dxa" w:w="148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8. 对抗分析</w:t>
            </w:r>
          </w:p>
        </w:tc>
        <w:tc>
          <w:tcPr>
            <w:tcW w:type="dxa" w:w="34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模拟对方主张、提出替代解释与不利事实</w:t>
            </w:r>
          </w:p>
        </w:tc>
        <w:tc>
          <w:tcPr>
            <w:tcW w:type="dxa" w:w="19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判断是否采纳并确定应对</w:t>
            </w:r>
          </w:p>
        </w:tc>
        <w:tc>
          <w:tcPr>
            <w:tcW w:type="dxa" w:w="13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对抗审查表</w:t>
            </w:r>
          </w:p>
        </w:tc>
        <w:tc>
          <w:tcPr>
            <w:tcW w:type="dxa" w:w="11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G3</w:t>
            </w:r>
          </w:p>
        </w:tc>
      </w:tr>
      <w:tr>
        <w:trPr>
          <w:cantSplit/>
        </w:trPr>
        <w:tc>
          <w:tcPr>
            <w:tcW w:type="dxa" w:w="148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9. 起草</w:t>
            </w:r>
          </w:p>
        </w:tc>
        <w:tc>
          <w:tcPr>
            <w:tcW w:type="dxa" w:w="34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仅基于“律师已确认事实 + 已验证法源”生成</w:t>
            </w:r>
          </w:p>
        </w:tc>
        <w:tc>
          <w:tcPr>
            <w:tcW w:type="dxa" w:w="19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编辑策略、措辞和请求</w:t>
            </w:r>
          </w:p>
        </w:tc>
        <w:tc>
          <w:tcPr>
            <w:tcW w:type="dxa" w:w="13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待审文书</w:t>
            </w:r>
          </w:p>
        </w:tc>
        <w:tc>
          <w:tcPr>
            <w:tcW w:type="dxa" w:w="11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G4 交付门</w:t>
            </w:r>
          </w:p>
        </w:tc>
      </w:tr>
      <w:tr>
        <w:trPr>
          <w:cantSplit/>
        </w:trPr>
        <w:tc>
          <w:tcPr>
            <w:tcW w:type="dxa" w:w="148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10. 验证</w:t>
            </w:r>
          </w:p>
        </w:tc>
        <w:tc>
          <w:tcPr>
            <w:tcW w:type="dxa" w:w="34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逐句做事实/法源/计算/格式检查</w:t>
            </w:r>
          </w:p>
        </w:tc>
        <w:tc>
          <w:tcPr>
            <w:tcW w:type="dxa" w:w="19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处理所有阻断项</w:t>
            </w:r>
          </w:p>
        </w:tc>
        <w:tc>
          <w:tcPr>
            <w:tcW w:type="dxa" w:w="13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验证报告</w:t>
            </w:r>
          </w:p>
        </w:tc>
        <w:tc>
          <w:tcPr>
            <w:tcW w:type="dxa" w:w="11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G4</w:t>
            </w:r>
          </w:p>
        </w:tc>
      </w:tr>
      <w:tr>
        <w:trPr>
          <w:cantSplit/>
        </w:trPr>
        <w:tc>
          <w:tcPr>
            <w:tcW w:type="dxa" w:w="148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11. 导出/发送</w:t>
            </w:r>
          </w:p>
        </w:tc>
        <w:tc>
          <w:tcPr>
            <w:tcW w:type="dxa" w:w="34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生成带版本、来源和 AI 标识策略的文件</w:t>
            </w:r>
          </w:p>
        </w:tc>
        <w:tc>
          <w:tcPr>
            <w:tcW w:type="dxa" w:w="19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最终批准；高风险双人复核</w:t>
            </w:r>
          </w:p>
        </w:tc>
        <w:tc>
          <w:tcPr>
            <w:tcW w:type="dxa" w:w="13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最终文件/导出清单</w:t>
            </w:r>
          </w:p>
        </w:tc>
        <w:tc>
          <w:tcPr>
            <w:tcW w:type="dxa" w:w="11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G5 外部动作门</w:t>
            </w:r>
          </w:p>
        </w:tc>
      </w:tr>
      <w:tr>
        <w:trPr>
          <w:cantSplit/>
        </w:trPr>
        <w:tc>
          <w:tcPr>
            <w:tcW w:type="dxa" w:w="148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12. 复盘与归档</w:t>
            </w:r>
          </w:p>
        </w:tc>
        <w:tc>
          <w:tcPr>
            <w:tcW w:type="dxa" w:w="34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计算净工时、采纳率、错误、成本；执行保留策略</w:t>
            </w:r>
          </w:p>
        </w:tc>
        <w:tc>
          <w:tcPr>
            <w:tcW w:type="dxa" w:w="19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确认知识提炼范围</w:t>
            </w:r>
          </w:p>
        </w:tc>
        <w:tc>
          <w:tcPr>
            <w:tcW w:type="dxa" w:w="13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复盘报告</w:t>
            </w:r>
          </w:p>
        </w:tc>
        <w:tc>
          <w:tcPr>
            <w:tcW w:type="dxa" w:w="11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归档门</w:t>
            </w:r>
          </w:p>
        </w:tc>
      </w:tr>
    </w:tbl>
    <w:p>
      <w:pPr>
        <w:spacing w:after="0"/>
      </w:pPr>
    </w:p>
    <w:p>
      <w:pPr>
        <w:pStyle w:val="Heading2"/>
        <w:keepNext/>
        <w:keepLines/>
      </w:pPr>
      <w:r>
        <w:rPr>
          <w:rFonts w:ascii="Calibri" w:hAnsi="Calibri" w:eastAsia="Microsoft YaHei"/>
          <w:b/>
          <w:color w:val="1F4E79"/>
          <w:sz w:val="26"/>
        </w:rPr>
        <w:t>5.2 多智能体组织不是“模拟十个律师聊天”</w:t>
      </w:r>
    </w:p>
    <w:p>
      <w:r>
        <w:rPr>
          <w:rFonts w:ascii="Calibri" w:hAnsi="Calibri" w:eastAsia="Microsoft YaHei"/>
          <w:b w:val="0"/>
          <w:color w:val="1F2937"/>
          <w:sz w:val="22"/>
        </w:rPr>
        <w:t xml:space="preserve">推荐采用 </w:t>
      </w:r>
      <w:r>
        <w:rPr>
          <w:rFonts w:ascii="Calibri" w:hAnsi="Calibri" w:eastAsia="Microsoft YaHei"/>
          <w:b/>
          <w:color w:val="1F2937"/>
          <w:sz w:val="22"/>
        </w:rPr>
        <w:t>任务状态机 + 角色化智能体 + 确定性验证器 + 人工总负责人</w:t>
      </w:r>
      <w:r>
        <w:rPr>
          <w:rFonts w:ascii="Calibri" w:hAnsi="Calibri" w:eastAsia="Microsoft YaHei"/>
          <w:b w:val="0"/>
          <w:color w:val="1F2937"/>
          <w:sz w:val="22"/>
        </w:rPr>
        <w:t>。智能体之间不自由聊天，而是通过有版本的任务对象交换有限信息。</w:t>
      </w:r>
    </w:p>
    <w:p>
      <w:pPr>
        <w:pStyle w:val="Heading3"/>
        <w:keepNext/>
        <w:keepLines/>
      </w:pPr>
      <w:r>
        <w:rPr>
          <w:rFonts w:ascii="Calibri" w:hAnsi="Calibri" w:eastAsia="Microsoft YaHei"/>
          <w:b/>
          <w:color w:val="17365D"/>
          <w:sz w:val="24"/>
        </w:rPr>
        <w:t>角色编制</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20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角色</w:t>
            </w:r>
          </w:p>
        </w:tc>
        <w:tc>
          <w:tcPr>
            <w:tcW w:type="dxa" w:w="354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职责</w:t>
            </w:r>
          </w:p>
        </w:tc>
        <w:tc>
          <w:tcPr>
            <w:tcW w:type="dxa" w:w="246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允许工具</w:t>
            </w:r>
          </w:p>
        </w:tc>
        <w:tc>
          <w:tcPr>
            <w:tcW w:type="dxa" w:w="215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禁止事项</w:t>
            </w:r>
          </w:p>
        </w:tc>
      </w:tr>
      <w:tr>
        <w:trPr>
          <w:cantSplit/>
        </w:trPr>
        <w:tc>
          <w:tcPr>
            <w:tcW w:type="dxa" w:w="12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案件监督智能体</w:t>
            </w:r>
          </w:p>
        </w:tc>
        <w:tc>
          <w:tcPr>
            <w:tcW w:type="dxa" w:w="35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拆任务、检查依赖、汇总状态，不输出最终法律结论</w:t>
            </w:r>
          </w:p>
        </w:tc>
        <w:tc>
          <w:tcPr>
            <w:tcW w:type="dxa" w:w="246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任务图、状态查询、成本/质量指标</w:t>
            </w:r>
          </w:p>
        </w:tc>
        <w:tc>
          <w:tcPr>
            <w:tcW w:type="dxa" w:w="215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直接修改证据、外发</w:t>
            </w:r>
          </w:p>
        </w:tc>
      </w:tr>
      <w:tr>
        <w:trPr>
          <w:cantSplit/>
        </w:trPr>
        <w:tc>
          <w:tcPr>
            <w:tcW w:type="dxa" w:w="12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合规哨兵</w:t>
            </w:r>
          </w:p>
        </w:tc>
        <w:tc>
          <w:tcPr>
            <w:tcW w:type="dxa" w:w="354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检查授权、数据级别、模型/工具可用性和导出条件</w:t>
            </w:r>
          </w:p>
        </w:tc>
        <w:tc>
          <w:tcPr>
            <w:tcW w:type="dxa" w:w="246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策略引擎、DLP、审计查询</w:t>
            </w:r>
          </w:p>
        </w:tc>
        <w:tc>
          <w:tcPr>
            <w:tcW w:type="dxa" w:w="215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读取超出判断所需的全文</w:t>
            </w:r>
          </w:p>
        </w:tc>
      </w:tr>
      <w:tr>
        <w:trPr>
          <w:cantSplit/>
        </w:trPr>
        <w:tc>
          <w:tcPr>
            <w:tcW w:type="dxa" w:w="12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摄取智能体</w:t>
            </w:r>
          </w:p>
        </w:tc>
        <w:tc>
          <w:tcPr>
            <w:tcW w:type="dxa" w:w="35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识别文件、去重、关联附件和低质量页</w:t>
            </w:r>
          </w:p>
        </w:tc>
        <w:tc>
          <w:tcPr>
            <w:tcW w:type="dxa" w:w="246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证据摄取 API</w:t>
            </w:r>
          </w:p>
        </w:tc>
        <w:tc>
          <w:tcPr>
            <w:tcW w:type="dxa" w:w="215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修改原件、访问外网</w:t>
            </w:r>
          </w:p>
        </w:tc>
      </w:tr>
      <w:tr>
        <w:trPr>
          <w:cantSplit/>
        </w:trPr>
        <w:tc>
          <w:tcPr>
            <w:tcW w:type="dxa" w:w="12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事实智能体</w:t>
            </w:r>
          </w:p>
        </w:tc>
        <w:tc>
          <w:tcPr>
            <w:tcW w:type="dxa" w:w="354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实体、事件、金额、时间线、矛盾检测</w:t>
            </w:r>
          </w:p>
        </w:tc>
        <w:tc>
          <w:tcPr>
            <w:tcW w:type="dxa" w:w="246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案件只读检索、候选事实写入</w:t>
            </w:r>
          </w:p>
        </w:tc>
        <w:tc>
          <w:tcPr>
            <w:tcW w:type="dxa" w:w="215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把候选事实标成“已确认”</w:t>
            </w:r>
          </w:p>
        </w:tc>
      </w:tr>
      <w:tr>
        <w:trPr>
          <w:cantSplit/>
        </w:trPr>
        <w:tc>
          <w:tcPr>
            <w:tcW w:type="dxa" w:w="12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证据智能体</w:t>
            </w:r>
          </w:p>
        </w:tc>
        <w:tc>
          <w:tcPr>
            <w:tcW w:type="dxa" w:w="35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要件与证据映射、缺口和反证</w:t>
            </w:r>
          </w:p>
        </w:tc>
        <w:tc>
          <w:tcPr>
            <w:tcW w:type="dxa" w:w="246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事实/证据图、待审矩阵</w:t>
            </w:r>
          </w:p>
        </w:tc>
        <w:tc>
          <w:tcPr>
            <w:tcW w:type="dxa" w:w="215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判断最终证明力</w:t>
            </w:r>
          </w:p>
        </w:tc>
      </w:tr>
      <w:tr>
        <w:trPr>
          <w:cantSplit/>
        </w:trPr>
        <w:tc>
          <w:tcPr>
            <w:tcW w:type="dxa" w:w="12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法律研究智能体</w:t>
            </w:r>
          </w:p>
        </w:tc>
        <w:tc>
          <w:tcPr>
            <w:tcW w:type="dxa" w:w="354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在指定法域、时点和主题内检索正反法源</w:t>
            </w:r>
          </w:p>
        </w:tc>
        <w:tc>
          <w:tcPr>
            <w:tcW w:type="dxa" w:w="246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许可法源检索、网页取证式抓取</w:t>
            </w:r>
          </w:p>
        </w:tc>
        <w:tc>
          <w:tcPr>
            <w:tcW w:type="dxa" w:w="215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引用无来源文本、任意联网</w:t>
            </w:r>
          </w:p>
        </w:tc>
      </w:tr>
      <w:tr>
        <w:trPr>
          <w:cantSplit/>
        </w:trPr>
        <w:tc>
          <w:tcPr>
            <w:tcW w:type="dxa" w:w="12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对抗智能体</w:t>
            </w:r>
          </w:p>
        </w:tc>
        <w:tc>
          <w:tcPr>
            <w:tcW w:type="dxa" w:w="35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从对方立场找矛盾、程序风险和替代解释</w:t>
            </w:r>
          </w:p>
        </w:tc>
        <w:tc>
          <w:tcPr>
            <w:tcW w:type="dxa" w:w="246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已授权事实、已验证法源</w:t>
            </w:r>
          </w:p>
        </w:tc>
        <w:tc>
          <w:tcPr>
            <w:tcW w:type="dxa" w:w="215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编造对方事实或证据</w:t>
            </w:r>
          </w:p>
        </w:tc>
      </w:tr>
      <w:tr>
        <w:trPr>
          <w:cantSplit/>
        </w:trPr>
        <w:tc>
          <w:tcPr>
            <w:tcW w:type="dxa" w:w="12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起草智能体</w:t>
            </w:r>
          </w:p>
        </w:tc>
        <w:tc>
          <w:tcPr>
            <w:tcW w:type="dxa" w:w="354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按模板组合确认事实和验证法源</w:t>
            </w:r>
          </w:p>
        </w:tc>
        <w:tc>
          <w:tcPr>
            <w:tcW w:type="dxa" w:w="246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文书模板、引用服务</w:t>
            </w:r>
          </w:p>
        </w:tc>
        <w:tc>
          <w:tcPr>
            <w:tcW w:type="dxa" w:w="215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引入未确认事实/未验证法源</w:t>
            </w:r>
          </w:p>
        </w:tc>
      </w:tr>
      <w:tr>
        <w:trPr>
          <w:cantSplit/>
        </w:trPr>
        <w:tc>
          <w:tcPr>
            <w:tcW w:type="dxa" w:w="12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验证智能体</w:t>
            </w:r>
          </w:p>
        </w:tc>
        <w:tc>
          <w:tcPr>
            <w:tcW w:type="dxa" w:w="35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逐项检查事实支撑、法源有效性、计算和引用</w:t>
            </w:r>
          </w:p>
        </w:tc>
        <w:tc>
          <w:tcPr>
            <w:tcW w:type="dxa" w:w="246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原文定位、法源校验、确定性计算器</w:t>
            </w:r>
          </w:p>
        </w:tc>
        <w:tc>
          <w:tcPr>
            <w:tcW w:type="dxa" w:w="215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自己修正策略性结论后静默通过</w:t>
            </w:r>
          </w:p>
        </w:tc>
      </w:tr>
      <w:tr>
        <w:trPr>
          <w:cantSplit/>
        </w:trPr>
        <w:tc>
          <w:tcPr>
            <w:tcW w:type="dxa" w:w="12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输出智能体</w:t>
            </w:r>
          </w:p>
        </w:tc>
        <w:tc>
          <w:tcPr>
            <w:tcW w:type="dxa" w:w="354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渲染 Word/PDF、目录、脚注和导出清单</w:t>
            </w:r>
          </w:p>
        </w:tc>
        <w:tc>
          <w:tcPr>
            <w:tcW w:type="dxa" w:w="246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文档渲染、标识和签名服务</w:t>
            </w:r>
          </w:p>
        </w:tc>
        <w:tc>
          <w:tcPr>
            <w:tcW w:type="dxa" w:w="215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发送、提交、覆盖已签版本</w:t>
            </w:r>
          </w:p>
        </w:tc>
      </w:tr>
    </w:tbl>
    <w:p>
      <w:pPr>
        <w:spacing w:after="0"/>
      </w:pPr>
    </w:p>
    <w:p>
      <w:pPr>
        <w:pStyle w:val="Heading3"/>
        <w:keepNext/>
        <w:keepLines/>
      </w:pPr>
      <w:r>
        <w:rPr>
          <w:rFonts w:ascii="Calibri" w:hAnsi="Calibri" w:eastAsia="Microsoft YaHei"/>
          <w:b/>
          <w:color w:val="17365D"/>
          <w:sz w:val="24"/>
        </w:rPr>
        <w:t>人类“主办律师”始终是总负责人</w:t>
      </w:r>
    </w:p>
    <w:p>
      <w:r>
        <w:rPr>
          <w:rFonts w:ascii="Calibri" w:hAnsi="Calibri" w:eastAsia="Microsoft YaHei"/>
          <w:b w:val="0"/>
          <w:color w:val="1F2937"/>
          <w:sz w:val="22"/>
        </w:rPr>
        <w:t>人工不是在流程末尾按一次“同意”，而是至少在五个节点作出实质判断：</w:t>
      </w:r>
    </w:p>
    <w:p>
      <w:pPr>
        <w:pStyle w:val="ListBullet"/>
        <w:keepLines/>
      </w:pPr>
      <w:r>
        <w:rPr>
          <w:rFonts w:ascii="Calibri" w:hAnsi="Calibri" w:eastAsia="Microsoft YaHei"/>
          <w:b w:val="0"/>
          <w:color w:val="1F2937"/>
          <w:sz w:val="22"/>
        </w:rPr>
        <w:t>G0：确认案件和数据处理授权；</w:t>
      </w:r>
    </w:p>
    <w:p>
      <w:pPr>
        <w:pStyle w:val="ListBullet"/>
        <w:keepLines/>
      </w:pPr>
      <w:r>
        <w:rPr>
          <w:rFonts w:ascii="Calibri" w:hAnsi="Calibri" w:eastAsia="Microsoft YaHei"/>
          <w:b w:val="0"/>
          <w:color w:val="1F2937"/>
          <w:sz w:val="22"/>
        </w:rPr>
        <w:t>G2：确认关键事实、诉求和争点范围；</w:t>
      </w:r>
    </w:p>
    <w:p>
      <w:pPr>
        <w:pStyle w:val="ListBullet"/>
        <w:keepLines/>
      </w:pPr>
      <w:r>
        <w:rPr>
          <w:rFonts w:ascii="Calibri" w:hAnsi="Calibri" w:eastAsia="Microsoft YaHei"/>
          <w:b w:val="0"/>
          <w:color w:val="1F2937"/>
          <w:sz w:val="22"/>
        </w:rPr>
        <w:t>G3：确认法源与策略；</w:t>
      </w:r>
    </w:p>
    <w:p>
      <w:pPr>
        <w:pStyle w:val="ListBullet"/>
        <w:keepLines/>
      </w:pPr>
      <w:r>
        <w:rPr>
          <w:rFonts w:ascii="Calibri" w:hAnsi="Calibri" w:eastAsia="Microsoft YaHei"/>
          <w:b w:val="0"/>
          <w:color w:val="1F2937"/>
          <w:sz w:val="22"/>
        </w:rPr>
        <w:t>G4：审阅最终工作成果；</w:t>
      </w:r>
    </w:p>
    <w:p>
      <w:pPr>
        <w:pStyle w:val="ListBullet"/>
        <w:keepLines/>
      </w:pPr>
      <w:r>
        <w:rPr>
          <w:rFonts w:ascii="Calibri" w:hAnsi="Calibri" w:eastAsia="Microsoft YaHei"/>
          <w:b w:val="0"/>
          <w:color w:val="1F2937"/>
          <w:sz w:val="22"/>
        </w:rPr>
        <w:t>G5：确认任何外发、签署或提交。</w:t>
      </w:r>
    </w:p>
    <w:p>
      <w:pPr>
        <w:pStyle w:val="Heading2"/>
        <w:keepNext/>
        <w:keepLines/>
      </w:pPr>
      <w:r>
        <w:rPr>
          <w:rFonts w:ascii="Calibri" w:hAnsi="Calibri" w:eastAsia="Microsoft YaHei"/>
          <w:b/>
          <w:color w:val="1F4E79"/>
          <w:sz w:val="26"/>
        </w:rPr>
        <w:t>5.3 智能体任务契约</w:t>
      </w:r>
    </w:p>
    <w:p>
      <w:r>
        <w:rPr>
          <w:rFonts w:ascii="Calibri" w:hAnsi="Calibri" w:eastAsia="Microsoft YaHei"/>
          <w:b w:val="0"/>
          <w:color w:val="1F2937"/>
          <w:sz w:val="22"/>
        </w:rPr>
        <w:t>每个子任务必须具有结构化契约：</w:t>
      </w:r>
    </w:p>
    <w:p>
      <w:pPr>
        <w:spacing w:before="80" w:after="160" w:line="240" w:lineRule="auto"/>
        <w:ind w:left="259" w:right="259"/>
        <w:jc w:val="left"/>
        <w:shd w:fill="F7F8FA"/>
        <w:pBdr>
          <w:left w:val="single" w:sz="20" w:color="3B82A0"/>
        </w:pBdr>
      </w:pPr>
      <w:r>
        <w:rPr>
          <w:rFonts w:ascii="Consolas" w:hAnsi="Consolas" w:eastAsia="Consolas"/>
          <w:b/>
          <w:color w:val="3B82A0"/>
          <w:sz w:val="15"/>
        </w:rPr>
        <w:t>JSON</w:t>
        <w:br/>
      </w:r>
      <w:r>
        <w:rPr>
          <w:rFonts w:ascii="Consolas" w:hAnsi="Consolas" w:eastAsia="Consolas"/>
          <w:color w:val="1F2937"/>
          <w:sz w:val="16"/>
        </w:rPr>
        <w:t>{</w:t>
        <w:br/>
        <w:t xml:space="preserve">  "task_id": "immutable-id",</w:t>
        <w:br/>
        <w:t xml:space="preserve">  "matter_id": "scoped-id",</w:t>
        <w:br/>
        <w:t xml:space="preserve">  "role": "fact_agent",</w:t>
        <w:br/>
        <w:t xml:space="preserve">  "objective": "提取2024年3月至6月的履约事件",</w:t>
        <w:br/>
        <w:t xml:space="preserve">  "authorized_sources": ["doc-17:p1-p12", "doc-22:p3-p9"],</w:t>
        <w:br/>
        <w:t xml:space="preserve">  "authorized_tools": ["matter_read", "candidate_fact_write"],</w:t>
        <w:br/>
        <w:t xml:space="preserve">  "legal_as_of": "2024-06-30",</w:t>
        <w:br/>
        <w:t xml:space="preserve">  "required_output_schema": "FactCandidate.v2",</w:t>
        <w:br/>
        <w:t xml:space="preserve">  "prohibited_actions": ["external_network", "finalize_fact", "export"],</w:t>
        <w:br/>
        <w:t xml:space="preserve">  "quality_checks": ["source_anchor_required", "date_precision_required"],</w:t>
        <w:br/>
        <w:t xml:space="preserve">  "budget": {"tokens": 60000, "seconds": 300},</w:t>
        <w:br/>
        <w:t xml:space="preserve">  "approval_policy": "none_for_read; human_for_scope_change"</w:t>
        <w:br/>
        <w:t>}</w:t>
      </w:r>
    </w:p>
    <w:p>
      <w:r>
        <w:rPr>
          <w:rFonts w:ascii="Calibri" w:hAnsi="Calibri" w:eastAsia="Microsoft YaHei"/>
          <w:b w:val="0"/>
          <w:color w:val="1F2937"/>
          <w:sz w:val="22"/>
        </w:rPr>
        <w:t>任务返回必须分开：</w:t>
      </w:r>
      <w:r>
        <w:rPr>
          <w:rFonts w:ascii="Consolas" w:hAnsi="Consolas" w:eastAsia="Consolas"/>
          <w:color w:val="17365D"/>
          <w:sz w:val="20"/>
          <w:shd w:fill="F4F6F9"/>
        </w:rPr>
        <w:t>observations</w:t>
      </w:r>
      <w:r>
        <w:rPr>
          <w:rFonts w:ascii="Calibri" w:hAnsi="Calibri" w:eastAsia="Microsoft YaHei"/>
          <w:b w:val="0"/>
          <w:color w:val="1F2937"/>
          <w:sz w:val="22"/>
        </w:rPr>
        <w:t>（从材料直接观察）、</w:t>
      </w:r>
      <w:r>
        <w:rPr>
          <w:rFonts w:ascii="Consolas" w:hAnsi="Consolas" w:eastAsia="Consolas"/>
          <w:color w:val="17365D"/>
          <w:sz w:val="20"/>
          <w:shd w:fill="F4F6F9"/>
        </w:rPr>
        <w:t>inferences</w:t>
      </w:r>
      <w:r>
        <w:rPr>
          <w:rFonts w:ascii="Calibri" w:hAnsi="Calibri" w:eastAsia="Microsoft YaHei"/>
          <w:b w:val="0"/>
          <w:color w:val="1F2937"/>
          <w:sz w:val="22"/>
        </w:rPr>
        <w:t>（推论）、</w:t>
      </w:r>
      <w:r>
        <w:rPr>
          <w:rFonts w:ascii="Consolas" w:hAnsi="Consolas" w:eastAsia="Consolas"/>
          <w:color w:val="17365D"/>
          <w:sz w:val="20"/>
          <w:shd w:fill="F4F6F9"/>
        </w:rPr>
        <w:t>unknowns</w:t>
      </w:r>
      <w:r>
        <w:rPr>
          <w:rFonts w:ascii="Calibri" w:hAnsi="Calibri" w:eastAsia="Microsoft YaHei"/>
          <w:b w:val="0"/>
          <w:color w:val="1F2937"/>
          <w:sz w:val="22"/>
        </w:rPr>
        <w:t>（未知）、</w:t>
      </w:r>
      <w:r>
        <w:rPr>
          <w:rFonts w:ascii="Consolas" w:hAnsi="Consolas" w:eastAsia="Consolas"/>
          <w:color w:val="17365D"/>
          <w:sz w:val="20"/>
          <w:shd w:fill="F4F6F9"/>
        </w:rPr>
        <w:t>conflicts</w:t>
      </w:r>
      <w:r>
        <w:rPr>
          <w:rFonts w:ascii="Calibri" w:hAnsi="Calibri" w:eastAsia="Microsoft YaHei"/>
          <w:b w:val="0"/>
          <w:color w:val="1F2937"/>
          <w:sz w:val="22"/>
        </w:rPr>
        <w:t xml:space="preserve">（冲突）和 </w:t>
      </w:r>
      <w:r>
        <w:rPr>
          <w:rFonts w:ascii="Consolas" w:hAnsi="Consolas" w:eastAsia="Consolas"/>
          <w:color w:val="17365D"/>
          <w:sz w:val="20"/>
          <w:shd w:fill="F4F6F9"/>
        </w:rPr>
        <w:t>provenance</w:t>
      </w:r>
      <w:r>
        <w:rPr>
          <w:rFonts w:ascii="Calibri" w:hAnsi="Calibri" w:eastAsia="Microsoft YaHei"/>
          <w:b w:val="0"/>
          <w:color w:val="1F2937"/>
          <w:sz w:val="22"/>
        </w:rPr>
        <w:t>（来源）。禁止用一段流畅文字混合事实和推测。</w:t>
      </w:r>
    </w:p>
    <w:p>
      <w:pPr>
        <w:pStyle w:val="Heading2"/>
        <w:keepNext/>
        <w:keepLines/>
      </w:pPr>
      <w:r>
        <w:rPr>
          <w:rFonts w:ascii="Calibri" w:hAnsi="Calibri" w:eastAsia="Microsoft YaHei"/>
          <w:b/>
          <w:color w:val="1F4E79"/>
          <w:sz w:val="26"/>
        </w:rPr>
        <w:t>5.4 事实状态机</w:t>
      </w:r>
    </w:p>
    <w:p>
      <w:r>
        <w:rPr>
          <w:rFonts w:ascii="Calibri" w:hAnsi="Calibri" w:eastAsia="Microsoft YaHei"/>
          <w:b w:val="0"/>
          <w:color w:val="1F2937"/>
          <w:sz w:val="22"/>
        </w:rPr>
        <w:t>每条事实使用以下状态，而不是只有“真/假”：</w:t>
      </w:r>
    </w:p>
    <w:p>
      <w:r>
        <w:rPr>
          <w:rFonts w:ascii="Consolas" w:hAnsi="Consolas" w:eastAsia="Consolas"/>
          <w:color w:val="17365D"/>
          <w:sz w:val="20"/>
          <w:shd w:fill="F4F6F9"/>
        </w:rPr>
        <w:t>候选 → 已核对来源 → 律师确认 / 律师修改 / 有争议 / 驳回 → 在某工作成果中使用 → 被后续材料推翻或更新</w:t>
      </w:r>
    </w:p>
    <w:p>
      <w:r>
        <w:rPr>
          <w:rFonts w:ascii="Calibri" w:hAnsi="Calibri" w:eastAsia="Microsoft YaHei"/>
          <w:b w:val="0"/>
          <w:color w:val="1F2937"/>
          <w:sz w:val="22"/>
        </w:rPr>
        <w:t>必要字段：</w:t>
      </w:r>
    </w:p>
    <w:p>
      <w:pPr>
        <w:pStyle w:val="ListBullet"/>
        <w:keepLines/>
      </w:pPr>
      <w:r>
        <w:rPr>
          <w:rFonts w:ascii="Calibri" w:hAnsi="Calibri" w:eastAsia="Microsoft YaHei"/>
          <w:b w:val="0"/>
          <w:color w:val="1F2937"/>
          <w:sz w:val="22"/>
        </w:rPr>
        <w:t>主体、动作、对象；</w:t>
      </w:r>
    </w:p>
    <w:p>
      <w:pPr>
        <w:pStyle w:val="ListBullet"/>
        <w:keepLines/>
      </w:pPr>
      <w:r>
        <w:rPr>
          <w:rFonts w:ascii="Calibri" w:hAnsi="Calibri" w:eastAsia="Microsoft YaHei"/>
          <w:b w:val="0"/>
          <w:color w:val="1F2937"/>
          <w:sz w:val="22"/>
        </w:rPr>
        <w:t>起止时间与精度（日/月/约）；</w:t>
      </w:r>
    </w:p>
    <w:p>
      <w:pPr>
        <w:pStyle w:val="ListBullet"/>
        <w:keepLines/>
      </w:pPr>
      <w:r>
        <w:rPr>
          <w:rFonts w:ascii="Calibri" w:hAnsi="Calibri" w:eastAsia="Microsoft YaHei"/>
          <w:b w:val="0"/>
          <w:color w:val="1F2937"/>
          <w:sz w:val="22"/>
        </w:rPr>
        <w:t>金额/币种/计算方式；</w:t>
      </w:r>
    </w:p>
    <w:p>
      <w:pPr>
        <w:pStyle w:val="ListBullet"/>
        <w:keepLines/>
      </w:pPr>
      <w:r>
        <w:rPr>
          <w:rFonts w:ascii="Calibri" w:hAnsi="Calibri" w:eastAsia="Microsoft YaHei"/>
          <w:b w:val="0"/>
          <w:color w:val="1F2937"/>
          <w:sz w:val="22"/>
        </w:rPr>
        <w:t>来源文档、页码、坐标和原文摘录哈希；</w:t>
      </w:r>
    </w:p>
    <w:p>
      <w:pPr>
        <w:pStyle w:val="ListBullet"/>
        <w:keepLines/>
      </w:pPr>
      <w:r>
        <w:rPr>
          <w:rFonts w:ascii="Calibri" w:hAnsi="Calibri" w:eastAsia="Microsoft YaHei"/>
          <w:b w:val="0"/>
          <w:color w:val="1F2937"/>
          <w:sz w:val="22"/>
        </w:rPr>
        <w:t>来源类型（合同、发票、聊天、证言、裁判文书等）；</w:t>
      </w:r>
    </w:p>
    <w:p>
      <w:pPr>
        <w:pStyle w:val="ListBullet"/>
        <w:keepLines/>
      </w:pPr>
      <w:r>
        <w:rPr>
          <w:rFonts w:ascii="Calibri" w:hAnsi="Calibri" w:eastAsia="Microsoft YaHei"/>
          <w:b w:val="0"/>
          <w:color w:val="1F2937"/>
          <w:sz w:val="22"/>
        </w:rPr>
        <w:t>支持/反对该事实的其他来源；</w:t>
      </w:r>
    </w:p>
    <w:p>
      <w:pPr>
        <w:pStyle w:val="ListBullet"/>
        <w:keepLines/>
      </w:pPr>
      <w:r>
        <w:rPr>
          <w:rFonts w:ascii="Calibri" w:hAnsi="Calibri" w:eastAsia="Microsoft YaHei"/>
          <w:b w:val="0"/>
          <w:color w:val="1F2937"/>
          <w:sz w:val="22"/>
        </w:rPr>
        <w:t>AI 置信、人工状态、确认人和时间；</w:t>
      </w:r>
    </w:p>
    <w:p>
      <w:pPr>
        <w:pStyle w:val="ListBullet"/>
        <w:keepLines/>
      </w:pPr>
      <w:r>
        <w:rPr>
          <w:rFonts w:ascii="Calibri" w:hAnsi="Calibri" w:eastAsia="Microsoft YaHei"/>
          <w:b w:val="0"/>
          <w:color w:val="1F2937"/>
          <w:sz w:val="22"/>
        </w:rPr>
        <w:t>是否含个人信息/敏感信息/商业秘密；</w:t>
      </w:r>
    </w:p>
    <w:p>
      <w:pPr>
        <w:pStyle w:val="ListBullet"/>
        <w:keepLines/>
      </w:pPr>
      <w:r>
        <w:rPr>
          <w:rFonts w:ascii="Calibri" w:hAnsi="Calibri" w:eastAsia="Microsoft YaHei"/>
          <w:b w:val="0"/>
          <w:color w:val="1F2937"/>
          <w:sz w:val="22"/>
        </w:rPr>
        <w:t>被哪些争点、要件和文书段落引用。</w:t>
      </w:r>
    </w:p>
    <w:p>
      <w:pPr>
        <w:pStyle w:val="Heading2"/>
        <w:keepNext/>
        <w:keepLines/>
      </w:pPr>
      <w:r>
        <w:rPr>
          <w:rFonts w:ascii="Calibri" w:hAnsi="Calibri" w:eastAsia="Microsoft YaHei"/>
          <w:b/>
          <w:color w:val="1F4E79"/>
          <w:sz w:val="26"/>
        </w:rPr>
        <w:t>5.5 争点与要件矩阵</w:t>
      </w:r>
    </w:p>
    <w:p>
      <w:r>
        <w:rPr>
          <w:rFonts w:ascii="Calibri" w:hAnsi="Calibri" w:eastAsia="Microsoft YaHei"/>
          <w:b w:val="0"/>
          <w:color w:val="1F2937"/>
          <w:sz w:val="22"/>
        </w:rPr>
        <w:t>矩阵是产品的核心“案件中间表示”，示例如下：</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170"/>
        <w:gridCol w:w="1170"/>
        <w:gridCol w:w="1170"/>
        <w:gridCol w:w="1170"/>
        <w:gridCol w:w="1170"/>
        <w:gridCol w:w="1170"/>
        <w:gridCol w:w="1170"/>
        <w:gridCol w:w="1170"/>
      </w:tblGrid>
      <w:tr>
        <w:trPr>
          <w:cantSplit/>
          <w:tblHeader w:val="true"/>
        </w:trPr>
        <w:tc>
          <w:tcPr>
            <w:tcW w:type="dxa" w:w="132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主张/抗辩</w:t>
            </w:r>
          </w:p>
        </w:tc>
        <w:tc>
          <w:tcPr>
            <w:tcW w:type="dxa" w:w="115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法律要件</w:t>
            </w:r>
          </w:p>
        </w:tc>
        <w:tc>
          <w:tcPr>
            <w:tcW w:type="dxa" w:w="115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已确认事实</w:t>
            </w:r>
          </w:p>
        </w:tc>
        <w:tc>
          <w:tcPr>
            <w:tcW w:type="dxa" w:w="132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支持证据</w:t>
            </w:r>
          </w:p>
        </w:tc>
        <w:tc>
          <w:tcPr>
            <w:tcW w:type="dxa" w:w="148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反证/异议</w:t>
            </w:r>
          </w:p>
        </w:tc>
        <w:tc>
          <w:tcPr>
            <w:tcW w:type="dxa" w:w="99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缺口</w:t>
            </w:r>
          </w:p>
        </w:tc>
        <w:tc>
          <w:tcPr>
            <w:tcW w:type="dxa" w:w="99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法源</w:t>
            </w:r>
          </w:p>
        </w:tc>
        <w:tc>
          <w:tcPr>
            <w:tcW w:type="dxa" w:w="93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律师结论</w:t>
            </w:r>
          </w:p>
        </w:tc>
      </w:tr>
      <w:tr>
        <w:trPr>
          <w:cantSplit/>
        </w:trPr>
        <w:tc>
          <w:tcPr>
            <w:tcW w:type="dxa" w:w="132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要求支付合同价款</w:t>
            </w:r>
          </w:p>
        </w:tc>
        <w:tc>
          <w:tcPr>
            <w:tcW w:type="dxa" w:w="11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合同成立并生效</w:t>
            </w:r>
          </w:p>
        </w:tc>
        <w:tc>
          <w:tcPr>
            <w:tcW w:type="dxa" w:w="11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双方于某日签署</w:t>
            </w:r>
          </w:p>
        </w:tc>
        <w:tc>
          <w:tcPr>
            <w:tcW w:type="dxa" w:w="132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合同第 8 页</w:t>
            </w:r>
          </w:p>
        </w:tc>
        <w:tc>
          <w:tcPr>
            <w:tcW w:type="dxa" w:w="148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印章真伪可能争议</w:t>
            </w:r>
          </w:p>
        </w:tc>
        <w:tc>
          <w:tcPr>
            <w:tcW w:type="dxa" w:w="99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原件待核</w:t>
            </w:r>
          </w:p>
        </w:tc>
        <w:tc>
          <w:tcPr>
            <w:tcW w:type="dxa" w:w="99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有效法条 A</w:t>
            </w:r>
          </w:p>
        </w:tc>
        <w:tc>
          <w:tcPr>
            <w:tcW w:type="dxa" w:w="9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待确认</w:t>
            </w:r>
          </w:p>
        </w:tc>
      </w:tr>
      <w:tr>
        <w:trPr>
          <w:cantSplit/>
        </w:trPr>
        <w:tc>
          <w:tcPr>
            <w:tcW w:type="dxa" w:w="1322"/>
            <w:vAlign w:val="center"/>
            <w:tcMar>
              <w:top w:w="80" w:type="dxa"/>
              <w:start w:w="120" w:type="dxa"/>
              <w:bottom w:w="80" w:type="dxa"/>
              <w:end w:w="120" w:type="dxa"/>
            </w:tcMar>
            <w:shd w:fill="F4F6F9"/>
          </w:tcPr>
          <w:p>
            <w:pPr>
              <w:spacing w:after="0" w:line="252" w:lineRule="auto"/>
              <w:jc w:val="left"/>
            </w:pPr>
          </w:p>
        </w:tc>
        <w:tc>
          <w:tcPr>
            <w:tcW w:type="dxa" w:w="115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已履行主要义务</w:t>
            </w:r>
          </w:p>
        </w:tc>
        <w:tc>
          <w:tcPr>
            <w:tcW w:type="dxa" w:w="115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某日交付并签收</w:t>
            </w:r>
          </w:p>
        </w:tc>
        <w:tc>
          <w:tcPr>
            <w:tcW w:type="dxa" w:w="132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签收单第 2 页</w:t>
            </w:r>
          </w:p>
        </w:tc>
        <w:tc>
          <w:tcPr>
            <w:tcW w:type="dxa" w:w="148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对方称存在质量问题</w:t>
            </w:r>
          </w:p>
        </w:tc>
        <w:tc>
          <w:tcPr>
            <w:tcW w:type="dxa" w:w="99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验收记录缺失</w:t>
            </w:r>
          </w:p>
        </w:tc>
        <w:tc>
          <w:tcPr>
            <w:tcW w:type="dxa" w:w="99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案例 B</w:t>
            </w:r>
          </w:p>
        </w:tc>
        <w:tc>
          <w:tcPr>
            <w:tcW w:type="dxa" w:w="9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证据中等</w:t>
            </w:r>
          </w:p>
        </w:tc>
      </w:tr>
      <w:tr>
        <w:trPr>
          <w:cantSplit/>
        </w:trPr>
        <w:tc>
          <w:tcPr>
            <w:tcW w:type="dxa" w:w="1322"/>
            <w:vAlign w:val="center"/>
            <w:tcMar>
              <w:top w:w="80" w:type="dxa"/>
              <w:start w:w="120" w:type="dxa"/>
              <w:bottom w:w="80" w:type="dxa"/>
              <w:end w:w="120" w:type="dxa"/>
            </w:tcMar>
          </w:tcPr>
          <w:p>
            <w:pPr>
              <w:spacing w:after="0" w:line="252" w:lineRule="auto"/>
              <w:jc w:val="left"/>
            </w:pPr>
          </w:p>
        </w:tc>
        <w:tc>
          <w:tcPr>
            <w:tcW w:type="dxa" w:w="11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付款期限届满</w:t>
            </w:r>
          </w:p>
        </w:tc>
        <w:tc>
          <w:tcPr>
            <w:tcW w:type="dxa" w:w="11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发票与催款通知</w:t>
            </w:r>
          </w:p>
        </w:tc>
        <w:tc>
          <w:tcPr>
            <w:tcW w:type="dxa" w:w="132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发票/邮件</w:t>
            </w:r>
          </w:p>
        </w:tc>
        <w:tc>
          <w:tcPr>
            <w:tcW w:type="dxa" w:w="148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付款条件是否成就</w:t>
            </w:r>
          </w:p>
        </w:tc>
        <w:tc>
          <w:tcPr>
            <w:tcW w:type="dxa" w:w="99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对账单缺失</w:t>
            </w:r>
          </w:p>
        </w:tc>
        <w:tc>
          <w:tcPr>
            <w:tcW w:type="dxa" w:w="99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解释 C</w:t>
            </w:r>
          </w:p>
        </w:tc>
        <w:tc>
          <w:tcPr>
            <w:tcW w:type="dxa" w:w="9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待补证</w:t>
            </w:r>
          </w:p>
        </w:tc>
      </w:tr>
    </w:tbl>
    <w:p>
      <w:pPr>
        <w:spacing w:after="0"/>
      </w:pPr>
    </w:p>
    <w:p>
      <w:r>
        <w:rPr>
          <w:rFonts w:ascii="Calibri" w:hAnsi="Calibri" w:eastAsia="Microsoft YaHei"/>
          <w:b w:val="0"/>
          <w:color w:val="1F2937"/>
          <w:sz w:val="22"/>
        </w:rPr>
        <w:t>所有生成文书只能消费矩阵中处于“律师确认可用”的事实与 G3 已验证法源。这比依赖提示词要求“不要胡编”更可控。</w:t>
      </w:r>
    </w:p>
    <w:p>
      <w:pPr>
        <w:pStyle w:val="Heading2"/>
        <w:keepNext/>
        <w:keepLines/>
      </w:pPr>
      <w:r>
        <w:rPr>
          <w:rFonts w:ascii="Calibri" w:hAnsi="Calibri" w:eastAsia="Microsoft YaHei"/>
          <w:b/>
          <w:color w:val="1F4E79"/>
          <w:sz w:val="26"/>
        </w:rPr>
        <w:t>5.6 对抗性协作规则</w:t>
      </w:r>
    </w:p>
    <w:p>
      <w:r>
        <w:rPr>
          <w:rFonts w:ascii="Calibri" w:hAnsi="Calibri" w:eastAsia="Microsoft YaHei"/>
          <w:b w:val="0"/>
          <w:color w:val="1F2937"/>
          <w:sz w:val="22"/>
        </w:rPr>
        <w:t>多智能体的主要价值不是让多个模型投票，而是强制引入不同审查职责：</w:t>
      </w:r>
    </w:p>
    <w:p>
      <w:pPr>
        <w:pStyle w:val="ListBullet"/>
        <w:keepLines/>
      </w:pPr>
      <w:r>
        <w:rPr>
          <w:rFonts w:ascii="Calibri" w:hAnsi="Calibri" w:eastAsia="Microsoft YaHei"/>
          <w:b w:val="0"/>
          <w:color w:val="1F2937"/>
          <w:sz w:val="22"/>
        </w:rPr>
        <w:t>事实智能体不得负责最终起草；</w:t>
      </w:r>
    </w:p>
    <w:p>
      <w:pPr>
        <w:pStyle w:val="ListBullet"/>
        <w:keepLines/>
      </w:pPr>
      <w:r>
        <w:rPr>
          <w:rFonts w:ascii="Calibri" w:hAnsi="Calibri" w:eastAsia="Microsoft YaHei"/>
          <w:b w:val="0"/>
          <w:color w:val="1F2937"/>
          <w:sz w:val="22"/>
        </w:rPr>
        <w:t>起草智能体不得自行扩大事实集合；</w:t>
      </w:r>
    </w:p>
    <w:p>
      <w:pPr>
        <w:pStyle w:val="ListBullet"/>
        <w:keepLines/>
      </w:pPr>
      <w:r>
        <w:rPr>
          <w:rFonts w:ascii="Calibri" w:hAnsi="Calibri" w:eastAsia="Microsoft YaHei"/>
          <w:b w:val="0"/>
          <w:color w:val="1F2937"/>
          <w:sz w:val="22"/>
        </w:rPr>
        <w:t>研究智能体必须返回不利法源和检索边界；</w:t>
      </w:r>
    </w:p>
    <w:p>
      <w:pPr>
        <w:pStyle w:val="ListBullet"/>
        <w:keepLines/>
      </w:pPr>
      <w:r>
        <w:rPr>
          <w:rFonts w:ascii="Calibri" w:hAnsi="Calibri" w:eastAsia="Microsoft YaHei"/>
          <w:b w:val="0"/>
          <w:color w:val="1F2937"/>
          <w:sz w:val="22"/>
        </w:rPr>
        <w:t>对抗智能体必须从对方立场解释同一证据；</w:t>
      </w:r>
    </w:p>
    <w:p>
      <w:pPr>
        <w:pStyle w:val="ListBullet"/>
        <w:keepLines/>
      </w:pPr>
      <w:r>
        <w:rPr>
          <w:rFonts w:ascii="Calibri" w:hAnsi="Calibri" w:eastAsia="Microsoft YaHei"/>
          <w:b w:val="0"/>
          <w:color w:val="1F2937"/>
          <w:sz w:val="22"/>
        </w:rPr>
        <w:t>验证智能体不能看到起草智能体的“自我评分”，只检查可观察证据；</w:t>
      </w:r>
    </w:p>
    <w:p>
      <w:pPr>
        <w:pStyle w:val="ListBullet"/>
        <w:keepLines/>
      </w:pPr>
      <w:r>
        <w:rPr>
          <w:rFonts w:ascii="Calibri" w:hAnsi="Calibri" w:eastAsia="Microsoft YaHei"/>
          <w:b w:val="0"/>
          <w:color w:val="1F2937"/>
          <w:sz w:val="22"/>
        </w:rPr>
        <w:t>严重分歧升级给律师，不通过“多数表决”掩盖。</w:t>
      </w:r>
    </w:p>
    <w:p>
      <w:pPr>
        <w:pStyle w:val="Heading1"/>
        <w:keepNext/>
        <w:keepLines/>
      </w:pPr>
      <w:r>
        <w:rPr>
          <w:rFonts w:ascii="Calibri" w:hAnsi="Calibri" w:eastAsia="Microsoft YaHei"/>
          <w:b/>
          <w:color w:val="1F4E79"/>
          <w:sz w:val="32"/>
        </w:rPr>
        <w:t>六、目标技术架构</w:t>
      </w:r>
    </w:p>
    <w:p>
      <w:pPr>
        <w:pStyle w:val="Heading2"/>
        <w:keepNext/>
        <w:keepLines/>
      </w:pPr>
      <w:r>
        <w:rPr>
          <w:rFonts w:ascii="Calibri" w:hAnsi="Calibri" w:eastAsia="Microsoft YaHei"/>
          <w:b/>
          <w:color w:val="1F4E79"/>
          <w:sz w:val="26"/>
        </w:rPr>
        <w:t>6.1 总体架构</w:t>
      </w:r>
    </w:p>
    <w:p>
      <w:pPr>
        <w:spacing w:after="16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rchitecture.png"/>
                    <pic:cNvPicPr/>
                  </pic:nvPicPr>
                  <pic:blipFill>
                    <a:blip r:embed="rId27"/>
                    <a:stretch>
                      <a:fillRect/>
                    </a:stretch>
                  </pic:blipFill>
                  <pic:spPr>
                    <a:xfrm>
                      <a:off x="0" y="0"/>
                      <a:ext cx="5669280" cy="3401568"/>
                    </a:xfrm>
                    <a:prstGeom prst="rect"/>
                  </pic:spPr>
                </pic:pic>
              </a:graphicData>
            </a:graphic>
          </wp:inline>
        </w:drawing>
      </w:r>
    </w:p>
    <w:p>
      <w:pPr>
        <w:pStyle w:val="Heading2"/>
        <w:keepNext/>
        <w:keepLines/>
      </w:pPr>
      <w:r>
        <w:rPr>
          <w:rFonts w:ascii="Calibri" w:hAnsi="Calibri" w:eastAsia="Microsoft YaHei"/>
          <w:b/>
          <w:color w:val="1F4E79"/>
          <w:sz w:val="26"/>
        </w:rPr>
        <w:t>6.2 七个平面</w:t>
      </w:r>
    </w:p>
    <w:p>
      <w:pPr>
        <w:pStyle w:val="Heading3"/>
        <w:keepNext/>
        <w:keepLines/>
      </w:pPr>
      <w:r>
        <w:rPr>
          <w:rFonts w:ascii="Calibri" w:hAnsi="Calibri" w:eastAsia="Microsoft YaHei"/>
          <w:b/>
          <w:color w:val="17365D"/>
          <w:sz w:val="24"/>
        </w:rPr>
        <w:t>6.2.1 身份与案件控制面</w:t>
      </w:r>
    </w:p>
    <w:p>
      <w:pPr>
        <w:pStyle w:val="ListBullet"/>
        <w:keepLines/>
      </w:pPr>
      <w:r>
        <w:rPr>
          <w:rFonts w:ascii="Calibri" w:hAnsi="Calibri" w:eastAsia="Microsoft YaHei"/>
          <w:b w:val="0"/>
          <w:color w:val="1F2937"/>
          <w:sz w:val="22"/>
        </w:rPr>
        <w:t>企业 SSO、MFA、SCIM 或组织目录同步；</w:t>
      </w:r>
    </w:p>
    <w:p>
      <w:pPr>
        <w:pStyle w:val="ListBullet"/>
        <w:keepLines/>
      </w:pPr>
      <w:r>
        <w:rPr>
          <w:rFonts w:ascii="Calibri" w:hAnsi="Calibri" w:eastAsia="Microsoft YaHei"/>
          <w:b w:val="0"/>
          <w:color w:val="1F2937"/>
          <w:sz w:val="22"/>
        </w:rPr>
        <w:t>租户、办公室、团队、客户、案件五级范围；</w:t>
      </w:r>
    </w:p>
    <w:p>
      <w:pPr>
        <w:pStyle w:val="ListBullet"/>
        <w:keepLines/>
      </w:pPr>
      <w:r>
        <w:rPr>
          <w:rFonts w:ascii="Calibri" w:hAnsi="Calibri" w:eastAsia="Microsoft YaHei"/>
          <w:b w:val="0"/>
          <w:color w:val="1F2937"/>
          <w:sz w:val="22"/>
        </w:rPr>
        <w:t>RBAC 管角色，ABAC 管案件属性、数据级别、地域、设备和时间；</w:t>
      </w:r>
    </w:p>
    <w:p>
      <w:pPr>
        <w:pStyle w:val="ListBullet"/>
        <w:keepLines/>
      </w:pPr>
      <w:r>
        <w:rPr>
          <w:rFonts w:ascii="Calibri" w:hAnsi="Calibri" w:eastAsia="Microsoft YaHei"/>
          <w:b w:val="0"/>
          <w:color w:val="1F2937"/>
          <w:sz w:val="22"/>
        </w:rPr>
        <w:t>客户/对方/关联方冲突标记与伦理墙；</w:t>
      </w:r>
    </w:p>
    <w:p>
      <w:pPr>
        <w:pStyle w:val="ListBullet"/>
        <w:keepLines/>
      </w:pPr>
      <w:r>
        <w:rPr>
          <w:rFonts w:ascii="Calibri" w:hAnsi="Calibri" w:eastAsia="Microsoft YaHei"/>
          <w:b w:val="0"/>
          <w:color w:val="1F2937"/>
          <w:sz w:val="22"/>
        </w:rPr>
        <w:t>临时访问需目的、期限、批准人和自动回收；</w:t>
      </w:r>
    </w:p>
    <w:p>
      <w:pPr>
        <w:pStyle w:val="ListBullet"/>
        <w:keepLines/>
      </w:pPr>
      <w:r>
        <w:rPr>
          <w:rFonts w:ascii="Calibri" w:hAnsi="Calibri" w:eastAsia="Microsoft YaHei"/>
          <w:b w:val="0"/>
          <w:color w:val="1F2937"/>
          <w:sz w:val="22"/>
        </w:rPr>
        <w:t>“Break glass” 紧急访问双人批准、强告警和事后审计。</w:t>
      </w:r>
    </w:p>
    <w:p>
      <w:pPr>
        <w:pStyle w:val="Heading3"/>
        <w:keepNext/>
        <w:keepLines/>
      </w:pPr>
      <w:r>
        <w:rPr>
          <w:rFonts w:ascii="Calibri" w:hAnsi="Calibri" w:eastAsia="Microsoft YaHei"/>
          <w:b/>
          <w:color w:val="17365D"/>
          <w:sz w:val="24"/>
        </w:rPr>
        <w:t>6.2.2 证据数据平面</w:t>
      </w:r>
    </w:p>
    <w:p>
      <w:r>
        <w:rPr>
          <w:rFonts w:ascii="Calibri" w:hAnsi="Calibri" w:eastAsia="Microsoft YaHei"/>
          <w:b w:val="0"/>
          <w:color w:val="1F2937"/>
          <w:sz w:val="22"/>
        </w:rPr>
        <w:t>建议采用分离存储：</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199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数据</w:t>
            </w:r>
          </w:p>
        </w:tc>
        <w:tc>
          <w:tcPr>
            <w:tcW w:type="dxa" w:w="278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存储</w:t>
            </w:r>
          </w:p>
        </w:tc>
        <w:tc>
          <w:tcPr>
            <w:tcW w:type="dxa" w:w="458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保护</w:t>
            </w:r>
          </w:p>
        </w:tc>
      </w:tr>
      <w:tr>
        <w:trPr>
          <w:cantSplit/>
        </w:trPr>
        <w:tc>
          <w:tcPr>
            <w:tcW w:type="dxa" w:w="19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原始文件</w:t>
            </w:r>
          </w:p>
        </w:tc>
        <w:tc>
          <w:tcPr>
            <w:tcW w:type="dxa" w:w="278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对象存储/WORM 区</w:t>
            </w:r>
          </w:p>
        </w:tc>
        <w:tc>
          <w:tcPr>
            <w:tcW w:type="dxa" w:w="4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写入后不可修改；SHA-256；独立原件 ID</w:t>
            </w:r>
          </w:p>
        </w:tc>
      </w:tr>
      <w:tr>
        <w:trPr>
          <w:cantSplit/>
        </w:trPr>
        <w:tc>
          <w:tcPr>
            <w:tcW w:type="dxa" w:w="19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OCR/解析派生件</w:t>
            </w:r>
          </w:p>
        </w:tc>
        <w:tc>
          <w:tcPr>
            <w:tcW w:type="dxa" w:w="278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版本化对象存储</w:t>
            </w:r>
          </w:p>
        </w:tc>
        <w:tc>
          <w:tcPr>
            <w:tcW w:type="dxa" w:w="45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记录解析器、模型、版本和坐标</w:t>
            </w:r>
          </w:p>
        </w:tc>
      </w:tr>
      <w:tr>
        <w:trPr>
          <w:cantSplit/>
        </w:trPr>
        <w:tc>
          <w:tcPr>
            <w:tcW w:type="dxa" w:w="19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元数据/权限/工作流</w:t>
            </w:r>
          </w:p>
        </w:tc>
        <w:tc>
          <w:tcPr>
            <w:tcW w:type="dxa" w:w="278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关系数据库</w:t>
            </w:r>
          </w:p>
        </w:tc>
        <w:tc>
          <w:tcPr>
            <w:tcW w:type="dxa" w:w="4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事务、行级安全、审计触发器</w:t>
            </w:r>
          </w:p>
        </w:tc>
      </w:tr>
      <w:tr>
        <w:trPr>
          <w:cantSplit/>
        </w:trPr>
        <w:tc>
          <w:tcPr>
            <w:tcW w:type="dxa" w:w="19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全文/向量索引</w:t>
            </w:r>
          </w:p>
        </w:tc>
        <w:tc>
          <w:tcPr>
            <w:tcW w:type="dxa" w:w="278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每租户或每案件逻辑/物理分区</w:t>
            </w:r>
          </w:p>
        </w:tc>
        <w:tc>
          <w:tcPr>
            <w:tcW w:type="dxa" w:w="45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过滤条件强制注入；禁止全局相似检索</w:t>
            </w:r>
          </w:p>
        </w:tc>
      </w:tr>
      <w:tr>
        <w:trPr>
          <w:cantSplit/>
        </w:trPr>
        <w:tc>
          <w:tcPr>
            <w:tcW w:type="dxa" w:w="19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事实与证据图</w:t>
            </w:r>
          </w:p>
        </w:tc>
        <w:tc>
          <w:tcPr>
            <w:tcW w:type="dxa" w:w="278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图或关系模型</w:t>
            </w:r>
          </w:p>
        </w:tc>
        <w:tc>
          <w:tcPr>
            <w:tcW w:type="dxa" w:w="4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节点/边均保留来源与人工状态</w:t>
            </w:r>
          </w:p>
        </w:tc>
      </w:tr>
      <w:tr>
        <w:trPr>
          <w:cantSplit/>
        </w:trPr>
        <w:tc>
          <w:tcPr>
            <w:tcW w:type="dxa" w:w="19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工作成果</w:t>
            </w:r>
          </w:p>
        </w:tc>
        <w:tc>
          <w:tcPr>
            <w:tcW w:type="dxa" w:w="278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版本库</w:t>
            </w:r>
          </w:p>
        </w:tc>
        <w:tc>
          <w:tcPr>
            <w:tcW w:type="dxa" w:w="45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草稿、批准版、签署版分离</w:t>
            </w:r>
          </w:p>
        </w:tc>
      </w:tr>
      <w:tr>
        <w:trPr>
          <w:cantSplit/>
        </w:trPr>
        <w:tc>
          <w:tcPr>
            <w:tcW w:type="dxa" w:w="19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审计</w:t>
            </w:r>
          </w:p>
        </w:tc>
        <w:tc>
          <w:tcPr>
            <w:tcW w:type="dxa" w:w="278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追加写事件库</w:t>
            </w:r>
          </w:p>
        </w:tc>
        <w:tc>
          <w:tcPr>
            <w:tcW w:type="dxa" w:w="45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哈希链、时间戳、独立保留与导出</w:t>
            </w:r>
          </w:p>
        </w:tc>
      </w:tr>
    </w:tbl>
    <w:p>
      <w:pPr>
        <w:spacing w:after="0"/>
      </w:pPr>
    </w:p>
    <w:p>
      <w:pPr>
        <w:pStyle w:val="Heading3"/>
        <w:keepNext/>
        <w:keepLines/>
      </w:pPr>
      <w:r>
        <w:rPr>
          <w:rFonts w:ascii="Calibri" w:hAnsi="Calibri" w:eastAsia="Microsoft YaHei"/>
          <w:b/>
          <w:color w:val="17365D"/>
          <w:sz w:val="24"/>
        </w:rPr>
        <w:t>6.2.3 法律知识平面</w:t>
      </w:r>
    </w:p>
    <w:p>
      <w:r>
        <w:rPr>
          <w:rFonts w:ascii="Calibri" w:hAnsi="Calibri" w:eastAsia="Microsoft YaHei"/>
          <w:b w:val="0"/>
          <w:color w:val="1F2937"/>
          <w:sz w:val="22"/>
        </w:rPr>
        <w:t>分成两套语料，严禁混淆：</w:t>
      </w:r>
    </w:p>
    <w:p>
      <w:pPr>
        <w:pStyle w:val="ListNumber"/>
        <w:numPr>
          <w:ilvl w:val="0"/>
          <w:numId w:val="16"/>
        </w:numPr>
        <w:keepLines/>
      </w:pPr>
      <w:r>
        <w:rPr>
          <w:rFonts w:ascii="Calibri" w:hAnsi="Calibri" w:eastAsia="Microsoft YaHei"/>
          <w:b/>
          <w:color w:val="1F2937"/>
          <w:sz w:val="22"/>
        </w:rPr>
        <w:t>公共/授权法律知识库</w:t>
      </w:r>
      <w:r>
        <w:rPr>
          <w:rFonts w:ascii="Calibri" w:hAnsi="Calibri" w:eastAsia="Microsoft YaHei"/>
          <w:b w:val="0"/>
          <w:color w:val="1F2937"/>
          <w:sz w:val="22"/>
        </w:rPr>
        <w:t>：法律法规、司法解释、权威案例、监管文件、律所批准模板；每条记录有发布机关、效力层级、公布/生效/失效时间、修订关系、地域和授权来源。</w:t>
      </w:r>
    </w:p>
    <w:p>
      <w:pPr>
        <w:pStyle w:val="ListNumber"/>
        <w:numPr>
          <w:ilvl w:val="0"/>
          <w:numId w:val="16"/>
        </w:numPr>
        <w:keepLines/>
      </w:pPr>
      <w:r>
        <w:rPr>
          <w:rFonts w:ascii="Calibri" w:hAnsi="Calibri" w:eastAsia="Microsoft YaHei"/>
          <w:b/>
          <w:color w:val="1F2937"/>
          <w:sz w:val="22"/>
        </w:rPr>
        <w:t>案件私有知识库</w:t>
      </w:r>
      <w:r>
        <w:rPr>
          <w:rFonts w:ascii="Calibri" w:hAnsi="Calibri" w:eastAsia="Microsoft YaHei"/>
          <w:b w:val="0"/>
          <w:color w:val="1F2937"/>
          <w:sz w:val="22"/>
        </w:rPr>
        <w:t>：原始材料、事实、证据、工作成果和律师批注；默认只在单案件使用。</w:t>
      </w:r>
    </w:p>
    <w:p>
      <w:r>
        <w:rPr>
          <w:rFonts w:ascii="Calibri" w:hAnsi="Calibri" w:eastAsia="Microsoft YaHei"/>
          <w:b w:val="0"/>
          <w:color w:val="1F2937"/>
          <w:sz w:val="22"/>
        </w:rPr>
        <w:t>国家法律法规数据库和人民法院案例库应作为权威核验路径；人民法院案例库收录指导性案例及最高人民法院审核入库的参考案例，并向社会开放。</w:t>
      </w:r>
      <w:hyperlink r:id="rId28">
        <w:r>
          <w:rPr>
            <w:rFonts w:ascii="Calibri" w:hAnsi="Calibri" w:eastAsia="Microsoft YaHei"/>
            <w:color w:val="1F4E79"/>
            <w:u w:val="single"/>
          </w:rPr>
          <w:t>国家法律法规数据库</w:t>
        </w:r>
      </w:hyperlink>
      <w:r>
        <w:rPr>
          <w:rFonts w:ascii="Calibri" w:hAnsi="Calibri" w:eastAsia="Microsoft YaHei"/>
          <w:b w:val="0"/>
          <w:color w:val="1F2937"/>
          <w:sz w:val="22"/>
        </w:rPr>
        <w:t xml:space="preserve"> </w:t>
      </w:r>
      <w:hyperlink r:id="rId29">
        <w:r>
          <w:rPr>
            <w:rFonts w:ascii="Calibri" w:hAnsi="Calibri" w:eastAsia="Microsoft YaHei"/>
            <w:color w:val="1F4E79"/>
            <w:u w:val="single"/>
          </w:rPr>
          <w:t>人民法院案例库工作规程</w:t>
        </w:r>
      </w:hyperlink>
    </w:p>
    <w:p>
      <w:r>
        <w:rPr>
          <w:rFonts w:ascii="Calibri" w:hAnsi="Calibri" w:eastAsia="Microsoft YaHei"/>
          <w:b w:val="0"/>
          <w:color w:val="1F2937"/>
          <w:sz w:val="22"/>
        </w:rPr>
        <w:t>商业产品仍需与法律数据库提供商订立数据/API 授权，不能通过大规模自动抓取规避许可、服务条款、版权和更新责任。</w:t>
      </w:r>
    </w:p>
    <w:p>
      <w:pPr>
        <w:pStyle w:val="Heading3"/>
        <w:keepNext/>
        <w:keepLines/>
      </w:pPr>
      <w:r>
        <w:rPr>
          <w:rFonts w:ascii="Calibri" w:hAnsi="Calibri" w:eastAsia="Microsoft YaHei"/>
          <w:b/>
          <w:color w:val="17365D"/>
          <w:sz w:val="24"/>
        </w:rPr>
        <w:t>6.2.4 智能体执行平面</w:t>
      </w:r>
    </w:p>
    <w:p>
      <w:pPr>
        <w:pStyle w:val="ListBullet"/>
        <w:keepLines/>
      </w:pPr>
      <w:r>
        <w:rPr>
          <w:rFonts w:ascii="Calibri" w:hAnsi="Calibri" w:eastAsia="Microsoft YaHei"/>
          <w:b w:val="0"/>
          <w:color w:val="1F2937"/>
          <w:sz w:val="22"/>
        </w:rPr>
        <w:t>Hermes 循环保留，但外部包一层确定性工作流引擎；</w:t>
      </w:r>
    </w:p>
    <w:p>
      <w:pPr>
        <w:pStyle w:val="ListBullet"/>
        <w:keepLines/>
      </w:pPr>
      <w:r>
        <w:rPr>
          <w:rFonts w:ascii="Calibri" w:hAnsi="Calibri" w:eastAsia="Microsoft YaHei"/>
          <w:b w:val="0"/>
          <w:color w:val="1F2937"/>
          <w:sz w:val="22"/>
        </w:rPr>
        <w:t>每个智能体使用固定版本角色卡和工具集合；</w:t>
      </w:r>
    </w:p>
    <w:p>
      <w:pPr>
        <w:pStyle w:val="ListBullet"/>
        <w:keepLines/>
      </w:pPr>
      <w:r>
        <w:rPr>
          <w:rFonts w:ascii="Calibri" w:hAnsi="Calibri" w:eastAsia="Microsoft YaHei"/>
          <w:b w:val="0"/>
          <w:color w:val="1F2937"/>
          <w:sz w:val="22"/>
        </w:rPr>
        <w:t>案件数据不写入系统提示词，以保证提示缓存稳定和权限可撤销；</w:t>
      </w:r>
    </w:p>
    <w:p>
      <w:pPr>
        <w:pStyle w:val="ListBullet"/>
        <w:keepLines/>
      </w:pPr>
      <w:r>
        <w:rPr>
          <w:rFonts w:ascii="Calibri" w:hAnsi="Calibri" w:eastAsia="Microsoft YaHei"/>
          <w:b w:val="0"/>
          <w:color w:val="1F2937"/>
          <w:sz w:val="22"/>
        </w:rPr>
        <w:t>任务输入使用授权的短期材料视图，结束即失效；</w:t>
      </w:r>
    </w:p>
    <w:p>
      <w:pPr>
        <w:pStyle w:val="ListBullet"/>
        <w:keepLines/>
      </w:pPr>
      <w:r>
        <w:rPr>
          <w:rFonts w:ascii="Calibri" w:hAnsi="Calibri" w:eastAsia="Microsoft YaHei"/>
          <w:b w:val="0"/>
          <w:color w:val="1F2937"/>
          <w:sz w:val="22"/>
        </w:rPr>
        <w:t>状态由工作流数据库管理，模型输出不能直接推进门禁；</w:t>
      </w:r>
    </w:p>
    <w:p>
      <w:pPr>
        <w:pStyle w:val="ListBullet"/>
        <w:keepLines/>
      </w:pPr>
      <w:r>
        <w:rPr>
          <w:rFonts w:ascii="Calibri" w:hAnsi="Calibri" w:eastAsia="Microsoft YaHei"/>
          <w:b w:val="0"/>
          <w:color w:val="1F2937"/>
          <w:sz w:val="22"/>
        </w:rPr>
        <w:t>预算同时限制 Token、时间、并发、模型成本和外部调用；</w:t>
      </w:r>
    </w:p>
    <w:p>
      <w:pPr>
        <w:pStyle w:val="ListBullet"/>
        <w:keepLines/>
      </w:pPr>
      <w:r>
        <w:rPr>
          <w:rFonts w:ascii="Calibri" w:hAnsi="Calibri" w:eastAsia="Microsoft YaHei"/>
          <w:b w:val="0"/>
          <w:color w:val="1F2937"/>
          <w:sz w:val="22"/>
        </w:rPr>
        <w:t>所有模型输出先进入候选区，不直接覆盖人工确认数据。</w:t>
      </w:r>
    </w:p>
    <w:p>
      <w:pPr>
        <w:pStyle w:val="Heading3"/>
        <w:keepNext/>
        <w:keepLines/>
      </w:pPr>
      <w:r>
        <w:rPr>
          <w:rFonts w:ascii="Calibri" w:hAnsi="Calibri" w:eastAsia="Microsoft YaHei"/>
          <w:b/>
          <w:color w:val="17365D"/>
          <w:sz w:val="24"/>
        </w:rPr>
        <w:t>6.2.5 模型网关</w:t>
      </w:r>
    </w:p>
    <w:p>
      <w:r>
        <w:rPr>
          <w:rFonts w:ascii="Calibri" w:hAnsi="Calibri" w:eastAsia="Microsoft YaHei"/>
          <w:b w:val="0"/>
          <w:color w:val="1F2937"/>
          <w:sz w:val="22"/>
        </w:rPr>
        <w:t>网关必须记录并执行：</w:t>
      </w:r>
    </w:p>
    <w:p>
      <w:pPr>
        <w:pStyle w:val="ListBullet"/>
        <w:keepLines/>
      </w:pPr>
      <w:r>
        <w:rPr>
          <w:rFonts w:ascii="Calibri" w:hAnsi="Calibri" w:eastAsia="Microsoft YaHei"/>
          <w:b w:val="0"/>
          <w:color w:val="1F2937"/>
          <w:sz w:val="22"/>
        </w:rPr>
        <w:t>模型/供应商/区域/备案状态；</w:t>
      </w:r>
    </w:p>
    <w:p>
      <w:pPr>
        <w:pStyle w:val="ListBullet"/>
        <w:keepLines/>
      </w:pPr>
      <w:r>
        <w:rPr>
          <w:rFonts w:ascii="Calibri" w:hAnsi="Calibri" w:eastAsia="Microsoft YaHei"/>
          <w:b w:val="0"/>
          <w:color w:val="1F2937"/>
          <w:sz w:val="22"/>
        </w:rPr>
        <w:t>数据是否用于训练、人工查看、日志留存和留存期限；</w:t>
      </w:r>
    </w:p>
    <w:p>
      <w:pPr>
        <w:pStyle w:val="ListBullet"/>
        <w:keepLines/>
      </w:pPr>
      <w:r>
        <w:rPr>
          <w:rFonts w:ascii="Calibri" w:hAnsi="Calibri" w:eastAsia="Microsoft YaHei"/>
          <w:b w:val="0"/>
          <w:color w:val="1F2937"/>
          <w:sz w:val="22"/>
        </w:rPr>
        <w:t>子处理者、跨境路径和合同版本；</w:t>
      </w:r>
    </w:p>
    <w:p>
      <w:pPr>
        <w:pStyle w:val="ListBullet"/>
        <w:keepLines/>
      </w:pPr>
      <w:r>
        <w:rPr>
          <w:rFonts w:ascii="Calibri" w:hAnsi="Calibri" w:eastAsia="Microsoft YaHei"/>
          <w:b w:val="0"/>
          <w:color w:val="1F2937"/>
          <w:sz w:val="22"/>
        </w:rPr>
        <w:t>支持的输入数据级别；</w:t>
      </w:r>
    </w:p>
    <w:p>
      <w:pPr>
        <w:pStyle w:val="ListBullet"/>
        <w:keepLines/>
      </w:pPr>
      <w:r>
        <w:rPr>
          <w:rFonts w:ascii="Calibri" w:hAnsi="Calibri" w:eastAsia="Microsoft YaHei"/>
          <w:b w:val="0"/>
          <w:color w:val="1F2937"/>
          <w:sz w:val="22"/>
        </w:rPr>
        <w:t>最大上下文、成本、延迟、可用性和降级策略；</w:t>
      </w:r>
    </w:p>
    <w:p>
      <w:pPr>
        <w:pStyle w:val="ListBullet"/>
        <w:keepLines/>
      </w:pPr>
      <w:r>
        <w:rPr>
          <w:rFonts w:ascii="Calibri" w:hAnsi="Calibri" w:eastAsia="Microsoft YaHei"/>
          <w:b w:val="0"/>
          <w:color w:val="1F2937"/>
          <w:sz w:val="22"/>
        </w:rPr>
        <w:t>提示模板、工具 schema 和输出格式版本；</w:t>
      </w:r>
    </w:p>
    <w:p>
      <w:pPr>
        <w:pStyle w:val="ListBullet"/>
        <w:keepLines/>
      </w:pPr>
      <w:r>
        <w:rPr>
          <w:rFonts w:ascii="Calibri" w:hAnsi="Calibri" w:eastAsia="Microsoft YaHei"/>
          <w:b w:val="0"/>
          <w:color w:val="1F2937"/>
          <w:sz w:val="22"/>
        </w:rPr>
        <w:t>请求/响应哈希与必要审计，不默认记录明文推理链。</w:t>
      </w:r>
    </w:p>
    <w:p>
      <w:r>
        <w:rPr>
          <w:rFonts w:ascii="Calibri" w:hAnsi="Calibri" w:eastAsia="Microsoft YaHei"/>
          <w:b/>
          <w:color w:val="1F2937"/>
          <w:sz w:val="22"/>
        </w:rPr>
        <w:t>路由等级：</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49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等级</w:t>
            </w:r>
          </w:p>
        </w:tc>
        <w:tc>
          <w:tcPr>
            <w:tcW w:type="dxa" w:w="383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允许数据</w:t>
            </w:r>
          </w:p>
        </w:tc>
        <w:tc>
          <w:tcPr>
            <w:tcW w:type="dxa" w:w="153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模型位置</w:t>
            </w:r>
          </w:p>
        </w:tc>
        <w:tc>
          <w:tcPr>
            <w:tcW w:type="dxa" w:w="249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典型场景</w:t>
            </w:r>
          </w:p>
        </w:tc>
      </w:tr>
      <w:tr>
        <w:trPr>
          <w:cantSplit/>
        </w:trPr>
        <w:tc>
          <w:tcPr>
            <w:tcW w:type="dxa" w:w="149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A 专属/本地</w:t>
            </w:r>
          </w:p>
        </w:tc>
        <w:tc>
          <w:tcPr>
            <w:tcW w:type="dxa" w:w="383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高敏、商业秘密、客户要求本地</w:t>
            </w:r>
          </w:p>
        </w:tc>
        <w:tc>
          <w:tcPr>
            <w:tcW w:type="dxa" w:w="153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客户专属或本地</w:t>
            </w:r>
          </w:p>
        </w:tc>
        <w:tc>
          <w:tcPr>
            <w:tcW w:type="dxa" w:w="249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私有化案件</w:t>
            </w:r>
          </w:p>
        </w:tc>
      </w:tr>
      <w:tr>
        <w:trPr>
          <w:cantSplit/>
        </w:trPr>
        <w:tc>
          <w:tcPr>
            <w:tcW w:type="dxa" w:w="149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B 境内受控云</w:t>
            </w:r>
          </w:p>
        </w:tc>
        <w:tc>
          <w:tcPr>
            <w:tcW w:type="dxa" w:w="383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一般案件材料、经合同允许的敏感信息</w:t>
            </w:r>
          </w:p>
        </w:tc>
        <w:tc>
          <w:tcPr>
            <w:tcW w:type="dxa" w:w="153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境内、合规供应商</w:t>
            </w:r>
          </w:p>
        </w:tc>
        <w:tc>
          <w:tcPr>
            <w:tcW w:type="dxa" w:w="249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标准 SaaS/专属云</w:t>
            </w:r>
          </w:p>
        </w:tc>
      </w:tr>
      <w:tr>
        <w:trPr>
          <w:cantSplit/>
        </w:trPr>
        <w:tc>
          <w:tcPr>
            <w:tcW w:type="dxa" w:w="149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C 去标识外部</w:t>
            </w:r>
          </w:p>
        </w:tc>
        <w:tc>
          <w:tcPr>
            <w:tcW w:type="dxa" w:w="383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已充分去标识、无可回推敏感内容、单独获批</w:t>
            </w:r>
          </w:p>
        </w:tc>
        <w:tc>
          <w:tcPr>
            <w:tcW w:type="dxa" w:w="153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可能境外</w:t>
            </w:r>
          </w:p>
        </w:tc>
        <w:tc>
          <w:tcPr>
            <w:tcW w:type="dxa" w:w="249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非事实型语言润色等有限任务</w:t>
            </w:r>
          </w:p>
        </w:tc>
      </w:tr>
      <w:tr>
        <w:trPr>
          <w:cantSplit/>
        </w:trPr>
        <w:tc>
          <w:tcPr>
            <w:tcW w:type="dxa" w:w="149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D 禁止</w:t>
            </w:r>
          </w:p>
        </w:tc>
        <w:tc>
          <w:tcPr>
            <w:tcW w:type="dxa" w:w="383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国家秘密、工作秘密或客户禁止出域数据</w:t>
            </w:r>
          </w:p>
        </w:tc>
        <w:tc>
          <w:tcPr>
            <w:tcW w:type="dxa" w:w="153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不进入普通模型</w:t>
            </w:r>
          </w:p>
        </w:tc>
        <w:tc>
          <w:tcPr>
            <w:tcW w:type="dxa" w:w="249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人工/专门系统</w:t>
            </w:r>
          </w:p>
        </w:tc>
      </w:tr>
    </w:tbl>
    <w:p>
      <w:pPr>
        <w:spacing w:after="0"/>
      </w:pPr>
    </w:p>
    <w:p>
      <w:r>
        <w:rPr>
          <w:rFonts w:ascii="Calibri" w:hAnsi="Calibri" w:eastAsia="Microsoft YaHei"/>
          <w:b w:val="0"/>
          <w:color w:val="1F2937"/>
          <w:sz w:val="22"/>
        </w:rPr>
        <w:t>原始案件材料默认禁止路由到境外模型。即使跨境数量未达到安全评估、标准合同或认证阈值，向境外接收方提供个人信息仍涉及合法性、必要性、告知、单独同意和保护义务；程序豁免不等于无需履行个人信息保护义务。</w:t>
      </w:r>
      <w:hyperlink r:id="rId30">
        <w:r>
          <w:rPr>
            <w:rFonts w:ascii="Calibri" w:hAnsi="Calibri" w:eastAsia="Microsoft YaHei"/>
            <w:color w:val="1F4E79"/>
            <w:u w:val="single"/>
          </w:rPr>
          <w:t>《促进和规范数据跨境流动规定》</w:t>
        </w:r>
      </w:hyperlink>
      <w:r>
        <w:rPr>
          <w:rFonts w:ascii="Calibri" w:hAnsi="Calibri" w:eastAsia="Microsoft YaHei"/>
          <w:b w:val="0"/>
          <w:color w:val="1F2937"/>
          <w:sz w:val="22"/>
        </w:rPr>
        <w:t xml:space="preserve"> </w:t>
      </w:r>
      <w:hyperlink r:id="rId31">
        <w:r>
          <w:rPr>
            <w:rFonts w:ascii="Calibri" w:hAnsi="Calibri" w:eastAsia="Microsoft YaHei"/>
            <w:color w:val="1F4E79"/>
            <w:u w:val="single"/>
          </w:rPr>
          <w:t>《个人信息保护法》</w:t>
        </w:r>
      </w:hyperlink>
    </w:p>
    <w:p>
      <w:pPr>
        <w:pStyle w:val="Heading3"/>
        <w:keepNext/>
        <w:keepLines/>
      </w:pPr>
      <w:r>
        <w:rPr>
          <w:rFonts w:ascii="Calibri" w:hAnsi="Calibri" w:eastAsia="Microsoft YaHei"/>
          <w:b/>
          <w:color w:val="17365D"/>
          <w:sz w:val="24"/>
        </w:rPr>
        <w:t>6.2.6 治理与审计平面</w:t>
      </w:r>
    </w:p>
    <w:p>
      <w:r>
        <w:rPr>
          <w:rFonts w:ascii="Calibri" w:hAnsi="Calibri" w:eastAsia="Microsoft YaHei"/>
          <w:b w:val="0"/>
          <w:color w:val="1F2937"/>
          <w:sz w:val="22"/>
        </w:rPr>
        <w:t>每一个可影响工作成果的事件至少记录：</w:t>
      </w:r>
    </w:p>
    <w:p>
      <w:pPr>
        <w:pStyle w:val="ListBullet"/>
        <w:keepLines/>
      </w:pPr>
      <w:r>
        <w:rPr>
          <w:rFonts w:ascii="Calibri" w:hAnsi="Calibri" w:eastAsia="Microsoft YaHei"/>
          <w:b w:val="0"/>
          <w:color w:val="1F2937"/>
          <w:sz w:val="22"/>
        </w:rPr>
        <w:t>用户、服务身份、设备/会话、租户和案件；</w:t>
      </w:r>
    </w:p>
    <w:p>
      <w:pPr>
        <w:pStyle w:val="ListBullet"/>
        <w:keepLines/>
      </w:pPr>
      <w:r>
        <w:rPr>
          <w:rFonts w:ascii="Calibri" w:hAnsi="Calibri" w:eastAsia="Microsoft YaHei"/>
          <w:b w:val="0"/>
          <w:color w:val="1F2937"/>
          <w:sz w:val="22"/>
        </w:rPr>
        <w:t>动作、输入对象 ID、输出对象 ID、前后版本；</w:t>
      </w:r>
    </w:p>
    <w:p>
      <w:pPr>
        <w:pStyle w:val="ListBullet"/>
        <w:keepLines/>
      </w:pPr>
      <w:r>
        <w:rPr>
          <w:rFonts w:ascii="Calibri" w:hAnsi="Calibri" w:eastAsia="Microsoft YaHei"/>
          <w:b w:val="0"/>
          <w:color w:val="1F2937"/>
          <w:sz w:val="22"/>
        </w:rPr>
        <w:t>模型、提示、工具、法源索引和解析器版本；</w:t>
      </w:r>
    </w:p>
    <w:p>
      <w:pPr>
        <w:pStyle w:val="ListBullet"/>
        <w:keepLines/>
      </w:pPr>
      <w:r>
        <w:rPr>
          <w:rFonts w:ascii="Calibri" w:hAnsi="Calibri" w:eastAsia="Microsoft YaHei"/>
          <w:b w:val="0"/>
          <w:color w:val="1F2937"/>
          <w:sz w:val="22"/>
        </w:rPr>
        <w:t>授权策略判定、审批人、理由和时间；</w:t>
      </w:r>
    </w:p>
    <w:p>
      <w:pPr>
        <w:pStyle w:val="ListBullet"/>
        <w:keepLines/>
      </w:pPr>
      <w:r>
        <w:rPr>
          <w:rFonts w:ascii="Calibri" w:hAnsi="Calibri" w:eastAsia="Microsoft YaHei"/>
          <w:b w:val="0"/>
          <w:color w:val="1F2937"/>
          <w:sz w:val="22"/>
        </w:rPr>
        <w:t>来源清单、引用定位、验证结果和阻断项；</w:t>
      </w:r>
    </w:p>
    <w:p>
      <w:pPr>
        <w:pStyle w:val="ListBullet"/>
        <w:keepLines/>
      </w:pPr>
      <w:r>
        <w:rPr>
          <w:rFonts w:ascii="Calibri" w:hAnsi="Calibri" w:eastAsia="Microsoft YaHei"/>
          <w:b w:val="0"/>
          <w:color w:val="1F2937"/>
          <w:sz w:val="22"/>
        </w:rPr>
        <w:t>Token/成本/延迟和异常；</w:t>
      </w:r>
    </w:p>
    <w:p>
      <w:pPr>
        <w:pStyle w:val="ListBullet"/>
        <w:keepLines/>
      </w:pPr>
      <w:r>
        <w:rPr>
          <w:rFonts w:ascii="Calibri" w:hAnsi="Calibri" w:eastAsia="Microsoft YaHei"/>
          <w:b w:val="0"/>
          <w:color w:val="1F2937"/>
          <w:sz w:val="22"/>
        </w:rPr>
        <w:t>导出文件哈希、AI 标识策略和接收渠道。</w:t>
      </w:r>
    </w:p>
    <w:p>
      <w:r>
        <w:rPr>
          <w:rFonts w:ascii="Calibri" w:hAnsi="Calibri" w:eastAsia="Microsoft YaHei"/>
          <w:b w:val="0"/>
          <w:color w:val="1F2937"/>
          <w:sz w:val="22"/>
        </w:rPr>
        <w:t>审计与应用管理员分权；高敏审计正文需二次授权；审计导出使用签名清单并保留校验工具。</w:t>
      </w:r>
    </w:p>
    <w:p>
      <w:pPr>
        <w:pStyle w:val="Heading3"/>
        <w:keepNext/>
        <w:keepLines/>
      </w:pPr>
      <w:r>
        <w:rPr>
          <w:rFonts w:ascii="Calibri" w:hAnsi="Calibri" w:eastAsia="Microsoft YaHei"/>
          <w:b/>
          <w:color w:val="17365D"/>
          <w:sz w:val="24"/>
        </w:rPr>
        <w:t>6.2.7 体验与连接器平面</w:t>
      </w:r>
    </w:p>
    <w:p>
      <w:r>
        <w:rPr>
          <w:rFonts w:ascii="Calibri" w:hAnsi="Calibri" w:eastAsia="Microsoft YaHei"/>
          <w:b w:val="0"/>
          <w:color w:val="1F2937"/>
          <w:sz w:val="22"/>
        </w:rPr>
        <w:t>首发客户端：Electron 桌面 + 浏览器工作台 + Word 插件。桌面适合本地文件接收、Office 集成和私有化；Web 适合协作与管理；Word 是律师最终修改文书的高频场景。</w:t>
      </w:r>
    </w:p>
    <w:p>
      <w:r>
        <w:rPr>
          <w:rFonts w:ascii="Calibri" w:hAnsi="Calibri" w:eastAsia="Microsoft YaHei"/>
          <w:b w:val="0"/>
          <w:color w:val="1F2937"/>
          <w:sz w:val="22"/>
        </w:rPr>
        <w:t>连接器按风险分级：</w:t>
      </w:r>
    </w:p>
    <w:p>
      <w:pPr>
        <w:pStyle w:val="ListBullet"/>
        <w:keepLines/>
      </w:pPr>
      <w:r>
        <w:rPr>
          <w:rFonts w:ascii="Calibri" w:hAnsi="Calibri" w:eastAsia="Microsoft YaHei"/>
          <w:b w:val="0"/>
          <w:color w:val="1F2937"/>
          <w:sz w:val="22"/>
        </w:rPr>
        <w:t>只读 DMS/对象存储：优先；</w:t>
      </w:r>
    </w:p>
    <w:p>
      <w:pPr>
        <w:pStyle w:val="ListBullet"/>
        <w:keepLines/>
      </w:pPr>
      <w:r>
        <w:rPr>
          <w:rFonts w:ascii="Calibri" w:hAnsi="Calibri" w:eastAsia="Microsoft YaHei"/>
          <w:b w:val="0"/>
          <w:color w:val="1F2937"/>
          <w:sz w:val="22"/>
        </w:rPr>
        <w:t>邮箱/OA 导入：按案件由用户选择，禁止后台全邮箱抓取；</w:t>
      </w:r>
    </w:p>
    <w:p>
      <w:pPr>
        <w:pStyle w:val="ListBullet"/>
        <w:keepLines/>
      </w:pPr>
      <w:r>
        <w:rPr>
          <w:rFonts w:ascii="Calibri" w:hAnsi="Calibri" w:eastAsia="Microsoft YaHei"/>
          <w:b w:val="0"/>
          <w:color w:val="1F2937"/>
          <w:sz w:val="22"/>
        </w:rPr>
        <w:t>日历/任务：可创建待确认事项；</w:t>
      </w:r>
    </w:p>
    <w:p>
      <w:pPr>
        <w:pStyle w:val="ListBullet"/>
        <w:keepLines/>
      </w:pPr>
      <w:r>
        <w:rPr>
          <w:rFonts w:ascii="Calibri" w:hAnsi="Calibri" w:eastAsia="Microsoft YaHei"/>
          <w:b w:val="0"/>
          <w:color w:val="1F2937"/>
          <w:sz w:val="22"/>
        </w:rPr>
        <w:t>外发/法院/客户门户：最高风险，V1 仅生成待发送包，不自动提交。</w:t>
      </w:r>
    </w:p>
    <w:p>
      <w:pPr>
        <w:pStyle w:val="Heading2"/>
        <w:keepNext/>
        <w:keepLines/>
      </w:pPr>
      <w:r>
        <w:rPr>
          <w:rFonts w:ascii="Calibri" w:hAnsi="Calibri" w:eastAsia="Microsoft YaHei"/>
          <w:b/>
          <w:color w:val="1F4E79"/>
          <w:sz w:val="26"/>
        </w:rPr>
        <w:t>6.3 证据摄取与保全链</w:t>
      </w:r>
    </w:p>
    <w:p>
      <w:pPr>
        <w:spacing w:after="160"/>
        <w:jc w:val="center"/>
      </w:pPr>
      <w:r>
        <w:drawing>
          <wp:inline xmlns:a="http://schemas.openxmlformats.org/drawingml/2006/main" xmlns:pic="http://schemas.openxmlformats.org/drawingml/2006/picture">
            <wp:extent cx="5897880" cy="1638300"/>
            <wp:docPr id="2" name="Picture 2"/>
            <wp:cNvGraphicFramePr>
              <a:graphicFrameLocks noChangeAspect="1"/>
            </wp:cNvGraphicFramePr>
            <a:graphic>
              <a:graphicData uri="http://schemas.openxmlformats.org/drawingml/2006/picture">
                <pic:pic>
                  <pic:nvPicPr>
                    <pic:cNvPr id="0" name="ingestion.png"/>
                    <pic:cNvPicPr/>
                  </pic:nvPicPr>
                  <pic:blipFill>
                    <a:blip r:embed="rId32"/>
                    <a:stretch>
                      <a:fillRect/>
                    </a:stretch>
                  </pic:blipFill>
                  <pic:spPr>
                    <a:xfrm>
                      <a:off x="0" y="0"/>
                      <a:ext cx="5897880" cy="1638300"/>
                    </a:xfrm>
                    <a:prstGeom prst="rect"/>
                  </pic:spPr>
                </pic:pic>
              </a:graphicData>
            </a:graphic>
          </wp:inline>
        </w:drawing>
      </w:r>
    </w:p>
    <w:p>
      <w:r>
        <w:rPr>
          <w:rFonts w:ascii="Calibri" w:hAnsi="Calibri" w:eastAsia="Microsoft YaHei"/>
          <w:b w:val="0"/>
          <w:color w:val="1F2937"/>
          <w:sz w:val="22"/>
        </w:rPr>
        <w:t>关键设计：</w:t>
      </w:r>
    </w:p>
    <w:p>
      <w:pPr>
        <w:pStyle w:val="ListBullet"/>
        <w:keepLines/>
      </w:pPr>
      <w:r>
        <w:rPr>
          <w:rFonts w:ascii="Calibri" w:hAnsi="Calibri" w:eastAsia="Microsoft YaHei"/>
          <w:b w:val="0"/>
          <w:color w:val="1F2937"/>
          <w:sz w:val="22"/>
        </w:rPr>
        <w:t>原件永不被 OCR 结果替换；</w:t>
      </w:r>
    </w:p>
    <w:p>
      <w:pPr>
        <w:pStyle w:val="ListBullet"/>
        <w:keepLines/>
      </w:pPr>
      <w:r>
        <w:rPr>
          <w:rFonts w:ascii="Calibri" w:hAnsi="Calibri" w:eastAsia="Microsoft YaHei"/>
          <w:b w:val="0"/>
          <w:color w:val="1F2937"/>
          <w:sz w:val="22"/>
        </w:rPr>
        <w:t xml:space="preserve">每个摘录可定位到 </w:t>
      </w:r>
      <w:r>
        <w:rPr>
          <w:rFonts w:ascii="Consolas" w:hAnsi="Consolas" w:eastAsia="Consolas"/>
          <w:color w:val="17365D"/>
          <w:sz w:val="20"/>
          <w:shd w:fill="F4F6F9"/>
        </w:rPr>
        <w:t>document_id + page + bounding_box + text_hash</w:t>
      </w:r>
      <w:r>
        <w:rPr>
          <w:rFonts w:ascii="Calibri" w:hAnsi="Calibri" w:eastAsia="Microsoft YaHei"/>
          <w:b w:val="0"/>
          <w:color w:val="1F2937"/>
          <w:sz w:val="22"/>
        </w:rPr>
        <w:t>；</w:t>
      </w:r>
    </w:p>
    <w:p>
      <w:pPr>
        <w:pStyle w:val="ListBullet"/>
        <w:keepLines/>
      </w:pPr>
      <w:r>
        <w:rPr>
          <w:rFonts w:ascii="Calibri" w:hAnsi="Calibri" w:eastAsia="Microsoft YaHei"/>
          <w:b w:val="0"/>
          <w:color w:val="1F2937"/>
          <w:sz w:val="22"/>
        </w:rPr>
        <w:t>扫描质量低、手写、印章、复杂表格和金额列进入人工抽检队列；</w:t>
      </w:r>
    </w:p>
    <w:p>
      <w:pPr>
        <w:pStyle w:val="ListBullet"/>
        <w:keepLines/>
      </w:pPr>
      <w:r>
        <w:rPr>
          <w:rFonts w:ascii="Calibri" w:hAnsi="Calibri" w:eastAsia="Microsoft YaHei"/>
          <w:b w:val="0"/>
          <w:color w:val="1F2937"/>
          <w:sz w:val="22"/>
        </w:rPr>
        <w:t>压缩包递归、宏、脚本、外链和嵌入对象在隔离区处理；</w:t>
      </w:r>
    </w:p>
    <w:p>
      <w:pPr>
        <w:pStyle w:val="ListBullet"/>
        <w:keepLines/>
      </w:pPr>
      <w:r>
        <w:rPr>
          <w:rFonts w:ascii="Calibri" w:hAnsi="Calibri" w:eastAsia="Microsoft YaHei"/>
          <w:b w:val="0"/>
          <w:color w:val="1F2937"/>
          <w:sz w:val="22"/>
        </w:rPr>
        <w:t>相同哈希直接去重，近似重复只提示，不自动删除；</w:t>
      </w:r>
    </w:p>
    <w:p>
      <w:pPr>
        <w:pStyle w:val="ListBullet"/>
        <w:keepLines/>
      </w:pPr>
      <w:r>
        <w:rPr>
          <w:rFonts w:ascii="Calibri" w:hAnsi="Calibri" w:eastAsia="Microsoft YaHei"/>
          <w:b w:val="0"/>
          <w:color w:val="1F2937"/>
          <w:sz w:val="22"/>
        </w:rPr>
        <w:t>新版本进入新对象，保留与旧版的差异和来源；</w:t>
      </w:r>
    </w:p>
    <w:p>
      <w:pPr>
        <w:pStyle w:val="ListBullet"/>
        <w:keepLines/>
      </w:pPr>
      <w:r>
        <w:rPr>
          <w:rFonts w:ascii="Calibri" w:hAnsi="Calibri" w:eastAsia="Microsoft YaHei"/>
          <w:b w:val="0"/>
          <w:color w:val="1F2937"/>
          <w:sz w:val="22"/>
        </w:rPr>
        <w:t>导出证据包时附文件清单、哈希和处理历史。</w:t>
      </w:r>
    </w:p>
    <w:p>
      <w:pPr>
        <w:pStyle w:val="Heading2"/>
        <w:keepNext/>
        <w:keepLines/>
      </w:pPr>
      <w:r>
        <w:rPr>
          <w:rFonts w:ascii="Calibri" w:hAnsi="Calibri" w:eastAsia="Microsoft YaHei"/>
          <w:b/>
          <w:color w:val="1F4E79"/>
          <w:sz w:val="26"/>
        </w:rPr>
        <w:t>6.4 检索与引用架构</w:t>
      </w:r>
    </w:p>
    <w:p>
      <w:r>
        <w:rPr>
          <w:rFonts w:ascii="Calibri" w:hAnsi="Calibri" w:eastAsia="Microsoft YaHei"/>
          <w:b w:val="0"/>
          <w:color w:val="1F2937"/>
          <w:sz w:val="22"/>
        </w:rPr>
        <w:t>不要采用“把所有文档切块后做一个向量库”的单一路径。建议组合：</w:t>
      </w:r>
    </w:p>
    <w:p>
      <w:pPr>
        <w:pStyle w:val="ListNumber"/>
        <w:numPr>
          <w:ilvl w:val="0"/>
          <w:numId w:val="17"/>
        </w:numPr>
        <w:keepLines/>
      </w:pPr>
      <w:r>
        <w:rPr>
          <w:rFonts w:ascii="Calibri" w:hAnsi="Calibri" w:eastAsia="Microsoft YaHei"/>
          <w:b w:val="0"/>
          <w:color w:val="1F2937"/>
          <w:sz w:val="22"/>
        </w:rPr>
        <w:t>元数据过滤：案件、文档类型、日期、当事人、授权；</w:t>
      </w:r>
    </w:p>
    <w:p>
      <w:pPr>
        <w:pStyle w:val="ListNumber"/>
        <w:numPr>
          <w:ilvl w:val="0"/>
          <w:numId w:val="17"/>
        </w:numPr>
        <w:keepLines/>
      </w:pPr>
      <w:r>
        <w:rPr>
          <w:rFonts w:ascii="Calibri" w:hAnsi="Calibri" w:eastAsia="Microsoft YaHei"/>
          <w:b w:val="0"/>
          <w:color w:val="1F2937"/>
          <w:sz w:val="22"/>
        </w:rPr>
        <w:t>关键词/BM25：精确案号、合同条款、金额、法条；</w:t>
      </w:r>
    </w:p>
    <w:p>
      <w:pPr>
        <w:pStyle w:val="ListNumber"/>
        <w:numPr>
          <w:ilvl w:val="0"/>
          <w:numId w:val="17"/>
        </w:numPr>
        <w:keepLines/>
      </w:pPr>
      <w:r>
        <w:rPr>
          <w:rFonts w:ascii="Calibri" w:hAnsi="Calibri" w:eastAsia="Microsoft YaHei"/>
          <w:b w:val="0"/>
          <w:color w:val="1F2937"/>
          <w:sz w:val="22"/>
        </w:rPr>
        <w:t>向量检索：语义相似事实和论述；</w:t>
      </w:r>
    </w:p>
    <w:p>
      <w:pPr>
        <w:pStyle w:val="ListNumber"/>
        <w:numPr>
          <w:ilvl w:val="0"/>
          <w:numId w:val="17"/>
        </w:numPr>
        <w:keepLines/>
      </w:pPr>
      <w:r>
        <w:rPr>
          <w:rFonts w:ascii="Calibri" w:hAnsi="Calibri" w:eastAsia="Microsoft YaHei"/>
          <w:b w:val="0"/>
          <w:color w:val="1F2937"/>
          <w:sz w:val="22"/>
        </w:rPr>
        <w:t>结构化图检索：主体—事件—证据—争点路径；</w:t>
      </w:r>
    </w:p>
    <w:p>
      <w:pPr>
        <w:pStyle w:val="ListNumber"/>
        <w:numPr>
          <w:ilvl w:val="0"/>
          <w:numId w:val="17"/>
        </w:numPr>
        <w:keepLines/>
      </w:pPr>
      <w:r>
        <w:rPr>
          <w:rFonts w:ascii="Calibri" w:hAnsi="Calibri" w:eastAsia="Microsoft YaHei"/>
          <w:b w:val="0"/>
          <w:color w:val="1F2937"/>
          <w:sz w:val="22"/>
        </w:rPr>
        <w:t>法源专用检索：效力层级、地域、时点和引用状态；</w:t>
      </w:r>
    </w:p>
    <w:p>
      <w:pPr>
        <w:pStyle w:val="ListNumber"/>
        <w:numPr>
          <w:ilvl w:val="0"/>
          <w:numId w:val="17"/>
        </w:numPr>
        <w:keepLines/>
      </w:pPr>
      <w:r>
        <w:rPr>
          <w:rFonts w:ascii="Calibri" w:hAnsi="Calibri" w:eastAsia="Microsoft YaHei"/>
          <w:b w:val="0"/>
          <w:color w:val="1F2937"/>
          <w:sz w:val="22"/>
        </w:rPr>
        <w:t>交叉编码/重排：减少无关块；</w:t>
      </w:r>
    </w:p>
    <w:p>
      <w:pPr>
        <w:pStyle w:val="ListNumber"/>
        <w:numPr>
          <w:ilvl w:val="0"/>
          <w:numId w:val="17"/>
        </w:numPr>
        <w:keepLines/>
      </w:pPr>
      <w:r>
        <w:rPr>
          <w:rFonts w:ascii="Calibri" w:hAnsi="Calibri" w:eastAsia="Microsoft YaHei"/>
          <w:b w:val="0"/>
          <w:color w:val="1F2937"/>
          <w:sz w:val="22"/>
        </w:rPr>
        <w:t>引用约束生成：模型只能引用检索结果中的稳定锚点；</w:t>
      </w:r>
    </w:p>
    <w:p>
      <w:pPr>
        <w:pStyle w:val="ListNumber"/>
        <w:numPr>
          <w:ilvl w:val="0"/>
          <w:numId w:val="17"/>
        </w:numPr>
        <w:keepLines/>
      </w:pPr>
      <w:r>
        <w:rPr>
          <w:rFonts w:ascii="Calibri" w:hAnsi="Calibri" w:eastAsia="Microsoft YaHei"/>
          <w:b w:val="0"/>
          <w:color w:val="1F2937"/>
          <w:sz w:val="22"/>
        </w:rPr>
        <w:t>事后支持性验证：检查引文是否真实支持具体命题，而不只检查文档是否存在。</w:t>
      </w:r>
    </w:p>
    <w:p>
      <w:r>
        <w:rPr>
          <w:rFonts w:ascii="Calibri" w:hAnsi="Calibri" w:eastAsia="Microsoft YaHei"/>
          <w:b w:val="0"/>
          <w:color w:val="1F2937"/>
          <w:sz w:val="22"/>
        </w:rPr>
        <w:t>回答视图必须区分：</w:t>
      </w:r>
    </w:p>
    <w:p>
      <w:pPr>
        <w:pStyle w:val="ListBullet"/>
        <w:keepLines/>
      </w:pPr>
      <w:r>
        <w:rPr>
          <w:rFonts w:ascii="Calibri" w:hAnsi="Calibri" w:eastAsia="Microsoft YaHei"/>
          <w:b/>
          <w:color w:val="1F2937"/>
          <w:sz w:val="22"/>
        </w:rPr>
        <w:t>原文事实</w:t>
      </w:r>
      <w:r>
        <w:rPr>
          <w:rFonts w:ascii="Calibri" w:hAnsi="Calibri" w:eastAsia="Microsoft YaHei"/>
          <w:b w:val="0"/>
          <w:color w:val="1F2937"/>
          <w:sz w:val="22"/>
        </w:rPr>
        <w:t>：材料直接表达；</w:t>
      </w:r>
    </w:p>
    <w:p>
      <w:pPr>
        <w:pStyle w:val="ListBullet"/>
        <w:keepLines/>
      </w:pPr>
      <w:r>
        <w:rPr>
          <w:rFonts w:ascii="Calibri" w:hAnsi="Calibri" w:eastAsia="Microsoft YaHei"/>
          <w:b/>
          <w:color w:val="1F2937"/>
          <w:sz w:val="22"/>
        </w:rPr>
        <w:t>系统归纳</w:t>
      </w:r>
      <w:r>
        <w:rPr>
          <w:rFonts w:ascii="Calibri" w:hAnsi="Calibri" w:eastAsia="Microsoft YaHei"/>
          <w:b w:val="0"/>
          <w:color w:val="1F2937"/>
          <w:sz w:val="22"/>
        </w:rPr>
        <w:t>：多个材料汇总；</w:t>
      </w:r>
    </w:p>
    <w:p>
      <w:pPr>
        <w:pStyle w:val="ListBullet"/>
        <w:keepLines/>
      </w:pPr>
      <w:r>
        <w:rPr>
          <w:rFonts w:ascii="Calibri" w:hAnsi="Calibri" w:eastAsia="Microsoft YaHei"/>
          <w:b/>
          <w:color w:val="1F2937"/>
          <w:sz w:val="22"/>
        </w:rPr>
        <w:t>法律推论</w:t>
      </w:r>
      <w:r>
        <w:rPr>
          <w:rFonts w:ascii="Calibri" w:hAnsi="Calibri" w:eastAsia="Microsoft YaHei"/>
          <w:b w:val="0"/>
          <w:color w:val="1F2937"/>
          <w:sz w:val="22"/>
        </w:rPr>
        <w:t>：基于规则的适用分析；</w:t>
      </w:r>
    </w:p>
    <w:p>
      <w:pPr>
        <w:pStyle w:val="ListBullet"/>
        <w:keepLines/>
      </w:pPr>
      <w:r>
        <w:rPr>
          <w:rFonts w:ascii="Calibri" w:hAnsi="Calibri" w:eastAsia="Microsoft YaHei"/>
          <w:b/>
          <w:color w:val="1F2937"/>
          <w:sz w:val="22"/>
        </w:rPr>
        <w:t>律师观点</w:t>
      </w:r>
      <w:r>
        <w:rPr>
          <w:rFonts w:ascii="Calibri" w:hAnsi="Calibri" w:eastAsia="Microsoft YaHei"/>
          <w:b w:val="0"/>
          <w:color w:val="1F2937"/>
          <w:sz w:val="22"/>
        </w:rPr>
        <w:t>：经人工确认；</w:t>
      </w:r>
    </w:p>
    <w:p>
      <w:pPr>
        <w:pStyle w:val="ListBullet"/>
        <w:keepLines/>
      </w:pPr>
      <w:r>
        <w:rPr>
          <w:rFonts w:ascii="Calibri" w:hAnsi="Calibri" w:eastAsia="Microsoft YaHei"/>
          <w:b/>
          <w:color w:val="1F2937"/>
          <w:sz w:val="22"/>
        </w:rPr>
        <w:t>未知/争议</w:t>
      </w:r>
      <w:r>
        <w:rPr>
          <w:rFonts w:ascii="Calibri" w:hAnsi="Calibri" w:eastAsia="Microsoft YaHei"/>
          <w:b w:val="0"/>
          <w:color w:val="1F2937"/>
          <w:sz w:val="22"/>
        </w:rPr>
        <w:t>：材料不足或相互冲突。</w:t>
      </w:r>
    </w:p>
    <w:p>
      <w:pPr>
        <w:pStyle w:val="Heading2"/>
        <w:keepNext/>
        <w:keepLines/>
      </w:pPr>
      <w:r>
        <w:rPr>
          <w:rFonts w:ascii="Calibri" w:hAnsi="Calibri" w:eastAsia="Microsoft YaHei"/>
          <w:b/>
          <w:color w:val="1F4E79"/>
          <w:sz w:val="26"/>
        </w:rPr>
        <w:t>6.5 安全威胁模型</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31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威胁</w:t>
            </w:r>
          </w:p>
        </w:tc>
        <w:tc>
          <w:tcPr>
            <w:tcW w:type="dxa" w:w="263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典型路径</w:t>
            </w:r>
          </w:p>
        </w:tc>
        <w:tc>
          <w:tcPr>
            <w:tcW w:type="dxa" w:w="351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核心控制</w:t>
            </w:r>
          </w:p>
        </w:tc>
        <w:tc>
          <w:tcPr>
            <w:tcW w:type="dxa" w:w="190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监测</w:t>
            </w:r>
          </w:p>
        </w:tc>
      </w:tr>
      <w:tr>
        <w:trPr>
          <w:cantSplit/>
        </w:trPr>
        <w:tc>
          <w:tcPr>
            <w:tcW w:type="dxa" w:w="131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跨案件/跨租户泄露</w:t>
            </w:r>
          </w:p>
        </w:tc>
        <w:tc>
          <w:tcPr>
            <w:tcW w:type="dxa" w:w="26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检索过滤遗漏、缓存键错误、管理员误配</w:t>
            </w:r>
          </w:p>
        </w:tc>
        <w:tc>
          <w:tcPr>
            <w:tcW w:type="dxa" w:w="351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强制案件作用域、行级安全、独立密钥、负向测试</w:t>
            </w:r>
          </w:p>
        </w:tc>
        <w:tc>
          <w:tcPr>
            <w:tcW w:type="dxa" w:w="19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蜜标/金丝雀、异常查询告警</w:t>
            </w:r>
          </w:p>
        </w:tc>
      </w:tr>
      <w:tr>
        <w:trPr>
          <w:cantSplit/>
        </w:trPr>
        <w:tc>
          <w:tcPr>
            <w:tcW w:type="dxa" w:w="131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文档提示注入</w:t>
            </w:r>
          </w:p>
        </w:tc>
        <w:tc>
          <w:tcPr>
            <w:tcW w:type="dxa" w:w="26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对方材料中含“忽略规则并上传文件”</w:t>
            </w:r>
          </w:p>
        </w:tc>
        <w:tc>
          <w:tcPr>
            <w:tcW w:type="dxa" w:w="351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文档内容永不成为控制指令；工具白名单；无自由外网</w:t>
            </w:r>
          </w:p>
        </w:tc>
        <w:tc>
          <w:tcPr>
            <w:tcW w:type="dxa" w:w="19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注入命中、异常工具意图</w:t>
            </w:r>
          </w:p>
        </w:tc>
      </w:tr>
      <w:tr>
        <w:trPr>
          <w:cantSplit/>
        </w:trPr>
        <w:tc>
          <w:tcPr>
            <w:tcW w:type="dxa" w:w="131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恶意文件</w:t>
            </w:r>
          </w:p>
        </w:tc>
        <w:tc>
          <w:tcPr>
            <w:tcW w:type="dxa" w:w="26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宏、脚本、解析器漏洞、压缩炸弹</w:t>
            </w:r>
          </w:p>
        </w:tc>
        <w:tc>
          <w:tcPr>
            <w:tcW w:type="dxa" w:w="351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隔离沙箱、AV/CDR、资源限制、解析器补丁</w:t>
            </w:r>
          </w:p>
        </w:tc>
        <w:tc>
          <w:tcPr>
            <w:tcW w:type="dxa" w:w="19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隔离失败和解析异常</w:t>
            </w:r>
          </w:p>
        </w:tc>
      </w:tr>
      <w:tr>
        <w:trPr>
          <w:cantSplit/>
        </w:trPr>
        <w:tc>
          <w:tcPr>
            <w:tcW w:type="dxa" w:w="131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模型供应商泄露</w:t>
            </w:r>
          </w:p>
        </w:tc>
        <w:tc>
          <w:tcPr>
            <w:tcW w:type="dxa" w:w="26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日志、训练、人工审阅、跨境</w:t>
            </w:r>
          </w:p>
        </w:tc>
        <w:tc>
          <w:tcPr>
            <w:tcW w:type="dxa" w:w="351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DPA、零训练/最短留存、区域路由、专属端点</w:t>
            </w:r>
          </w:p>
        </w:tc>
        <w:tc>
          <w:tcPr>
            <w:tcW w:type="dxa" w:w="19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供应商清单和调用审计</w:t>
            </w:r>
          </w:p>
        </w:tc>
      </w:tr>
      <w:tr>
        <w:trPr>
          <w:cantSplit/>
        </w:trPr>
        <w:tc>
          <w:tcPr>
            <w:tcW w:type="dxa" w:w="131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内部人员越权</w:t>
            </w:r>
          </w:p>
        </w:tc>
        <w:tc>
          <w:tcPr>
            <w:tcW w:type="dxa" w:w="26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运维读取正文、批量导出</w:t>
            </w:r>
          </w:p>
        </w:tc>
        <w:tc>
          <w:tcPr>
            <w:tcW w:type="dxa" w:w="351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职责分离、JIT、双人审批、字段加密</w:t>
            </w:r>
          </w:p>
        </w:tc>
        <w:tc>
          <w:tcPr>
            <w:tcW w:type="dxa" w:w="19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大量读取/异常时段告警</w:t>
            </w:r>
          </w:p>
        </w:tc>
      </w:tr>
      <w:tr>
        <w:trPr>
          <w:cantSplit/>
        </w:trPr>
        <w:tc>
          <w:tcPr>
            <w:tcW w:type="dxa" w:w="131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插件供应链</w:t>
            </w:r>
          </w:p>
        </w:tc>
        <w:tc>
          <w:tcPr>
            <w:tcW w:type="dxa" w:w="26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恶意更新、过宽 OAuth</w:t>
            </w:r>
          </w:p>
        </w:tc>
        <w:tc>
          <w:tcPr>
            <w:tcW w:type="dxa" w:w="351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签名、审核、SBOM、版本锁定、隔离进程</w:t>
            </w:r>
          </w:p>
        </w:tc>
        <w:tc>
          <w:tcPr>
            <w:tcW w:type="dxa" w:w="19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完整性和权限变化</w:t>
            </w:r>
          </w:p>
        </w:tc>
      </w:tr>
      <w:tr>
        <w:trPr>
          <w:cantSplit/>
        </w:trPr>
        <w:tc>
          <w:tcPr>
            <w:tcW w:type="dxa" w:w="131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错误法源/过期法条</w:t>
            </w:r>
          </w:p>
        </w:tc>
        <w:tc>
          <w:tcPr>
            <w:tcW w:type="dxa" w:w="26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数据未更新、模型虚构</w:t>
            </w:r>
          </w:p>
        </w:tc>
        <w:tc>
          <w:tcPr>
            <w:tcW w:type="dxa" w:w="351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权威核验、时点版本、双源或 citator、发布门禁</w:t>
            </w:r>
          </w:p>
        </w:tc>
        <w:tc>
          <w:tcPr>
            <w:tcW w:type="dxa" w:w="19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引证失败率、过期命中</w:t>
            </w:r>
          </w:p>
        </w:tc>
      </w:tr>
      <w:tr>
        <w:trPr>
          <w:cantSplit/>
        </w:trPr>
        <w:tc>
          <w:tcPr>
            <w:tcW w:type="dxa" w:w="131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证据污染</w:t>
            </w:r>
          </w:p>
        </w:tc>
        <w:tc>
          <w:tcPr>
            <w:tcW w:type="dxa" w:w="26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AI 改写原件、人工误覆盖</w:t>
            </w:r>
          </w:p>
        </w:tc>
        <w:tc>
          <w:tcPr>
            <w:tcW w:type="dxa" w:w="351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原件 WORM、派生件分离、哈希链</w:t>
            </w:r>
          </w:p>
        </w:tc>
        <w:tc>
          <w:tcPr>
            <w:tcW w:type="dxa" w:w="19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哈希校验和版本告警</w:t>
            </w:r>
          </w:p>
        </w:tc>
      </w:tr>
      <w:tr>
        <w:trPr>
          <w:cantSplit/>
        </w:trPr>
        <w:tc>
          <w:tcPr>
            <w:tcW w:type="dxa" w:w="131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审计泄密</w:t>
            </w:r>
          </w:p>
        </w:tc>
        <w:tc>
          <w:tcPr>
            <w:tcW w:type="dxa" w:w="26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日志记录全文提示或推理</w:t>
            </w:r>
          </w:p>
        </w:tc>
        <w:tc>
          <w:tcPr>
            <w:tcW w:type="dxa" w:w="351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最小化明文、字段加密、分层审计、保留策略</w:t>
            </w:r>
          </w:p>
        </w:tc>
        <w:tc>
          <w:tcPr>
            <w:tcW w:type="dxa" w:w="19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审计访问告警</w:t>
            </w:r>
          </w:p>
        </w:tc>
      </w:tr>
      <w:tr>
        <w:trPr>
          <w:cantSplit/>
        </w:trPr>
        <w:tc>
          <w:tcPr>
            <w:tcW w:type="dxa" w:w="131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自动外发</w:t>
            </w:r>
          </w:p>
        </w:tc>
        <w:tc>
          <w:tcPr>
            <w:tcW w:type="dxa" w:w="26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智能体误发邮件/提交</w:t>
            </w:r>
          </w:p>
        </w:tc>
        <w:tc>
          <w:tcPr>
            <w:tcW w:type="dxa" w:w="351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生产无外发工具；待发送包；不可绕过人审</w:t>
            </w:r>
          </w:p>
        </w:tc>
        <w:tc>
          <w:tcPr>
            <w:tcW w:type="dxa" w:w="19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所有出口事件</w:t>
            </w:r>
          </w:p>
        </w:tc>
      </w:tr>
    </w:tbl>
    <w:p>
      <w:pPr>
        <w:spacing w:after="0"/>
      </w:pPr>
    </w:p>
    <w:p>
      <w:pPr>
        <w:pStyle w:val="Heading2"/>
        <w:keepNext/>
        <w:keepLines/>
      </w:pPr>
      <w:r>
        <w:rPr>
          <w:rFonts w:ascii="Calibri" w:hAnsi="Calibri" w:eastAsia="Microsoft YaHei"/>
          <w:b/>
          <w:color w:val="1F4E79"/>
          <w:sz w:val="26"/>
        </w:rPr>
        <w:t>6.6 可用性与灾备目标</w:t>
      </w:r>
    </w:p>
    <w:p>
      <w:r>
        <w:rPr>
          <w:rFonts w:ascii="Calibri" w:hAnsi="Calibri" w:eastAsia="Microsoft YaHei"/>
          <w:b w:val="0"/>
          <w:color w:val="1F2937"/>
          <w:sz w:val="22"/>
        </w:rPr>
        <w:t>建议收费 V1 的工程目标：</w:t>
      </w:r>
    </w:p>
    <w:p>
      <w:pPr>
        <w:pStyle w:val="ListBullet"/>
        <w:keepLines/>
      </w:pPr>
      <w:r>
        <w:rPr>
          <w:rFonts w:ascii="Calibri" w:hAnsi="Calibri" w:eastAsia="Microsoft YaHei"/>
          <w:b w:val="0"/>
          <w:color w:val="1F2937"/>
          <w:sz w:val="22"/>
        </w:rPr>
        <w:t>SaaS 月度可用性目标 99.9%，私有化按合同约定；</w:t>
      </w:r>
    </w:p>
    <w:p>
      <w:pPr>
        <w:pStyle w:val="ListBullet"/>
        <w:keepLines/>
      </w:pPr>
      <w:r>
        <w:rPr>
          <w:rFonts w:ascii="Calibri" w:hAnsi="Calibri" w:eastAsia="Microsoft YaHei"/>
          <w:b w:val="0"/>
          <w:color w:val="1F2937"/>
          <w:sz w:val="22"/>
        </w:rPr>
        <w:t>RPO：案件元数据 ≤ 5 分钟，原件写入即多副本；</w:t>
      </w:r>
    </w:p>
    <w:p>
      <w:pPr>
        <w:pStyle w:val="ListBullet"/>
        <w:keepLines/>
      </w:pPr>
      <w:r>
        <w:rPr>
          <w:rFonts w:ascii="Calibri" w:hAnsi="Calibri" w:eastAsia="Microsoft YaHei"/>
          <w:b w:val="0"/>
          <w:color w:val="1F2937"/>
          <w:sz w:val="22"/>
        </w:rPr>
        <w:t>RTO：核心查看/导出 ≤ 4 小时，AI 增强能力可降级；</w:t>
      </w:r>
    </w:p>
    <w:p>
      <w:pPr>
        <w:pStyle w:val="ListBullet"/>
        <w:keepLines/>
      </w:pPr>
      <w:r>
        <w:rPr>
          <w:rFonts w:ascii="Calibri" w:hAnsi="Calibri" w:eastAsia="Microsoft YaHei"/>
          <w:b w:val="0"/>
          <w:color w:val="1F2937"/>
          <w:sz w:val="22"/>
        </w:rPr>
        <w:t>模型不可用时仍可读取原件、编辑人工事实、查看已生成成果和导出；</w:t>
      </w:r>
    </w:p>
    <w:p>
      <w:pPr>
        <w:pStyle w:val="ListBullet"/>
        <w:keepLines/>
      </w:pPr>
      <w:r>
        <w:rPr>
          <w:rFonts w:ascii="Calibri" w:hAnsi="Calibri" w:eastAsia="Microsoft YaHei"/>
          <w:b w:val="0"/>
          <w:color w:val="1F2937"/>
          <w:sz w:val="22"/>
        </w:rPr>
        <w:t>所有关键处理任务幂等、可重试，不能因重试重复修改事实；</w:t>
      </w:r>
    </w:p>
    <w:p>
      <w:pPr>
        <w:pStyle w:val="ListBullet"/>
        <w:keepLines/>
      </w:pPr>
      <w:r>
        <w:rPr>
          <w:rFonts w:ascii="Calibri" w:hAnsi="Calibri" w:eastAsia="Microsoft YaHei"/>
          <w:b w:val="0"/>
          <w:color w:val="1F2937"/>
          <w:sz w:val="22"/>
        </w:rPr>
        <w:t>每季度恢复演练；每次重大模型/解析器升级保留回滚版本。</w:t>
      </w:r>
    </w:p>
    <w:p>
      <w:pPr>
        <w:pStyle w:val="Heading1"/>
        <w:keepNext/>
        <w:keepLines/>
      </w:pPr>
      <w:r>
        <w:rPr>
          <w:rFonts w:ascii="Calibri" w:hAnsi="Calibri" w:eastAsia="Microsoft YaHei"/>
          <w:b/>
          <w:color w:val="1F4E79"/>
          <w:sz w:val="32"/>
        </w:rPr>
        <w:t>七、中国大陆合规与职业责任设计</w:t>
      </w:r>
    </w:p>
    <w:p>
      <w:pPr>
        <w:pStyle w:val="Heading2"/>
        <w:keepNext/>
        <w:keepLines/>
      </w:pPr>
      <w:r>
        <w:rPr>
          <w:rFonts w:ascii="Calibri" w:hAnsi="Calibri" w:eastAsia="Microsoft YaHei"/>
          <w:b/>
          <w:color w:val="1F4E79"/>
          <w:sz w:val="26"/>
        </w:rPr>
        <w:t>7.1 总体边界</w:t>
      </w:r>
    </w:p>
    <w:p>
      <w:r>
        <w:rPr>
          <w:rFonts w:ascii="Calibri" w:hAnsi="Calibri" w:eastAsia="Microsoft YaHei"/>
          <w:b w:val="0"/>
          <w:color w:val="1F2937"/>
          <w:sz w:val="22"/>
        </w:rPr>
        <w:t>《生成式人工智能服务管理暂行办法》适用于向中国境内公众提供生成内容的服务；专业机构内部研发、应用而未向境内公众提供的情形不适用该办法，但个人信息、数据、网络安全、保密、知识产权和律师执业规则仍然适用。该办法还明确 API 服务也可能属于提供者。</w:t>
      </w:r>
      <w:hyperlink r:id="rId33">
        <w:r>
          <w:rPr>
            <w:rFonts w:ascii="Calibri" w:hAnsi="Calibri" w:eastAsia="Microsoft YaHei"/>
            <w:color w:val="1F4E79"/>
            <w:u w:val="single"/>
          </w:rPr>
          <w:t>《生成式人工智能服务管理暂行办法》</w:t>
        </w:r>
      </w:hyperlink>
    </w:p>
    <w:p>
      <w:r>
        <w:rPr>
          <w:rFonts w:ascii="Calibri" w:hAnsi="Calibri" w:eastAsia="Microsoft YaHei"/>
          <w:b w:val="0"/>
          <w:color w:val="1F2937"/>
          <w:sz w:val="22"/>
        </w:rPr>
        <w:t>因此产品路径对合规范围有实质影响：</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312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产品形态</w:t>
            </w:r>
          </w:p>
        </w:tc>
        <w:tc>
          <w:tcPr>
            <w:tcW w:type="dxa" w:w="325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生成式 AI 专门规则风险</w:t>
            </w:r>
          </w:p>
        </w:tc>
        <w:tc>
          <w:tcPr>
            <w:tcW w:type="dxa" w:w="298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建议</w:t>
            </w:r>
          </w:p>
        </w:tc>
      </w:tr>
      <w:tr>
        <w:trPr>
          <w:cantSplit/>
        </w:trPr>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律所内部私有部署、仅员工使用</w:t>
            </w:r>
          </w:p>
        </w:tc>
        <w:tc>
          <w:tcPr>
            <w:tcW w:type="dxa" w:w="325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相对较低，但数据和执业责任仍完整存在</w:t>
            </w:r>
          </w:p>
        </w:tc>
        <w:tc>
          <w:tcPr>
            <w:tcW w:type="dxa" w:w="298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首选高敏客户模式</w:t>
            </w:r>
          </w:p>
        </w:tc>
      </w:tr>
      <w:tr>
        <w:trPr>
          <w:cantSplit/>
        </w:trPr>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受限 B2B SaaS、仅经审核的法律专业用户</w:t>
            </w:r>
          </w:p>
        </w:tc>
        <w:tc>
          <w:tcPr>
            <w:tcW w:type="dxa" w:w="325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需结合实际用户范围、提供方式和功能判断</w:t>
            </w:r>
          </w:p>
        </w:tc>
        <w:tc>
          <w:tcPr>
            <w:tcW w:type="dxa" w:w="298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首发主模式，立项时取得专项法律意见</w:t>
            </w:r>
          </w:p>
        </w:tc>
      </w:tr>
      <w:tr>
        <w:trPr>
          <w:cantSplit/>
        </w:trPr>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律所向客户开放协作门户</w:t>
            </w:r>
          </w:p>
        </w:tc>
        <w:tc>
          <w:tcPr>
            <w:tcW w:type="dxa" w:w="325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取决于是否直接向客户提供生成服务</w:t>
            </w:r>
          </w:p>
        </w:tc>
        <w:tc>
          <w:tcPr>
            <w:tcW w:type="dxa" w:w="298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只展示经律师批准成果，不让 AI 无监督作答</w:t>
            </w:r>
          </w:p>
        </w:tc>
      </w:tr>
      <w:tr>
        <w:trPr>
          <w:cantSplit/>
        </w:trPr>
        <w:tc>
          <w:tcPr>
            <w:tcW w:type="dxa" w:w="31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面向公众的法律生成/咨询</w:t>
            </w:r>
          </w:p>
        </w:tc>
        <w:tc>
          <w:tcPr>
            <w:tcW w:type="dxa" w:w="325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生成式服务、内容、投诉、标识、备案等责任显著增加</w:t>
            </w:r>
          </w:p>
        </w:tc>
        <w:tc>
          <w:tcPr>
            <w:tcW w:type="dxa" w:w="298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MVP 不做</w:t>
            </w:r>
          </w:p>
        </w:tc>
      </w:tr>
      <w:tr>
        <w:trPr>
          <w:cantSplit/>
        </w:trPr>
        <w:tc>
          <w:tcPr>
            <w:tcW w:type="dxa" w:w="31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人格化“数字律师”持续互动</w:t>
            </w:r>
          </w:p>
        </w:tc>
        <w:tc>
          <w:tcPr>
            <w:tcW w:type="dxa" w:w="325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若不涉及持续情感互动，2026 拟人化互动办法明确的知识问答/工作助手排除条款可能适用；但名称和行为仍有执业、误导与生成式服务风险</w:t>
            </w:r>
          </w:p>
        </w:tc>
        <w:tc>
          <w:tcPr>
            <w:tcW w:type="dxa" w:w="298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避免人格化品牌和独立专家形象</w:t>
            </w:r>
          </w:p>
        </w:tc>
      </w:tr>
    </w:tbl>
    <w:p>
      <w:pPr>
        <w:spacing w:after="0"/>
      </w:pPr>
    </w:p>
    <w:p>
      <w:r>
        <w:rPr>
          <w:rFonts w:ascii="Calibri" w:hAnsi="Calibri" w:eastAsia="Microsoft YaHei"/>
          <w:b w:val="0"/>
          <w:color w:val="1F2937"/>
          <w:sz w:val="22"/>
        </w:rPr>
        <w:t>2026 年 7 月 15 日起施行的《人工智能拟人化互动服务管理暂行办法》主要针对模拟自然人人格、思维和沟通风格的持续情感互动，并明确不涉及持续情感互动的智能客服、知识问答和工作助手不适用；这并不意味着“AI 律师”称谓安全，仍应按具体功能和用户认知评估。</w:t>
      </w:r>
      <w:hyperlink r:id="rId34">
        <w:r>
          <w:rPr>
            <w:rFonts w:ascii="Calibri" w:hAnsi="Calibri" w:eastAsia="Microsoft YaHei"/>
            <w:color w:val="1F4E79"/>
            <w:u w:val="single"/>
          </w:rPr>
          <w:t>《人工智能拟人化互动服务管理暂行办法》</w:t>
        </w:r>
      </w:hyperlink>
    </w:p>
    <w:p>
      <w:pPr>
        <w:pStyle w:val="Heading2"/>
        <w:keepNext/>
        <w:keepLines/>
      </w:pPr>
      <w:r>
        <w:rPr>
          <w:rFonts w:ascii="Calibri" w:hAnsi="Calibri" w:eastAsia="Microsoft YaHei"/>
          <w:b/>
          <w:color w:val="1F4E79"/>
          <w:sz w:val="26"/>
        </w:rPr>
        <w:t>7.2 律师执业与产品责任</w:t>
      </w:r>
    </w:p>
    <w:p>
      <w:r>
        <w:rPr>
          <w:rFonts w:ascii="Calibri" w:hAnsi="Calibri" w:eastAsia="Microsoft YaHei"/>
          <w:b w:val="0"/>
          <w:color w:val="1F2937"/>
          <w:sz w:val="22"/>
        </w:rPr>
        <w:t>硬性产品规则：</w:t>
      </w:r>
    </w:p>
    <w:p>
      <w:pPr>
        <w:pStyle w:val="ListBullet"/>
        <w:keepLines/>
      </w:pPr>
      <w:r>
        <w:rPr>
          <w:rFonts w:ascii="Calibri" w:hAnsi="Calibri" w:eastAsia="Microsoft YaHei"/>
          <w:b w:val="0"/>
          <w:color w:val="1F2937"/>
          <w:sz w:val="22"/>
        </w:rPr>
        <w:t>所有界面明确显示“AI 辅助工作成果，须由律师审核”；</w:t>
      </w:r>
    </w:p>
    <w:p>
      <w:pPr>
        <w:pStyle w:val="ListBullet"/>
        <w:keepLines/>
      </w:pPr>
      <w:r>
        <w:rPr>
          <w:rFonts w:ascii="Calibri" w:hAnsi="Calibri" w:eastAsia="Microsoft YaHei"/>
          <w:b w:val="0"/>
          <w:color w:val="1F2937"/>
          <w:sz w:val="22"/>
        </w:rPr>
        <w:t>不把模型名称包装成持证律师，不为 AI 分配虚构执业证号或签名；</w:t>
      </w:r>
    </w:p>
    <w:p>
      <w:pPr>
        <w:pStyle w:val="ListBullet"/>
        <w:keepLines/>
      </w:pPr>
      <w:r>
        <w:rPr>
          <w:rFonts w:ascii="Calibri" w:hAnsi="Calibri" w:eastAsia="Microsoft YaHei"/>
          <w:b w:val="0"/>
          <w:color w:val="1F2937"/>
          <w:sz w:val="22"/>
        </w:rPr>
        <w:t>法律意见、诉讼文书、客户回复必须绑定负责人和批准记录；</w:t>
      </w:r>
    </w:p>
    <w:p>
      <w:pPr>
        <w:pStyle w:val="ListBullet"/>
        <w:keepLines/>
      </w:pPr>
      <w:r>
        <w:rPr>
          <w:rFonts w:ascii="Calibri" w:hAnsi="Calibri" w:eastAsia="Microsoft YaHei"/>
          <w:b w:val="0"/>
          <w:color w:val="1F2937"/>
          <w:sz w:val="22"/>
        </w:rPr>
        <w:t>冲突检查和保密义务由律所制度主导，系统提供控制与证据；</w:t>
      </w:r>
    </w:p>
    <w:p>
      <w:pPr>
        <w:pStyle w:val="ListBullet"/>
        <w:keepLines/>
      </w:pPr>
      <w:r>
        <w:rPr>
          <w:rFonts w:ascii="Calibri" w:hAnsi="Calibri" w:eastAsia="Microsoft YaHei"/>
          <w:b w:val="0"/>
          <w:color w:val="1F2937"/>
          <w:sz w:val="22"/>
        </w:rPr>
        <w:t>AI 错误不能通过服务条款全部转嫁给客户；合同需清楚划分平台、律所、模型/数据供应商责任；</w:t>
      </w:r>
    </w:p>
    <w:p>
      <w:pPr>
        <w:pStyle w:val="ListBullet"/>
        <w:keepLines/>
      </w:pPr>
      <w:r>
        <w:rPr>
          <w:rFonts w:ascii="Calibri" w:hAnsi="Calibri" w:eastAsia="Microsoft YaHei"/>
          <w:b w:val="0"/>
          <w:color w:val="1F2937"/>
          <w:sz w:val="22"/>
        </w:rPr>
        <w:t>营销不得承诺结果、胜诉率或“替代律师”。</w:t>
      </w:r>
    </w:p>
    <w:p>
      <w:r>
        <w:rPr>
          <w:rFonts w:ascii="Calibri" w:hAnsi="Calibri" w:eastAsia="Microsoft YaHei"/>
          <w:b w:val="0"/>
          <w:color w:val="1F2937"/>
          <w:sz w:val="22"/>
        </w:rPr>
        <w:t>上海市律师协会 2025 年试行指引虽为非强制参考，却给出了高度贴近产品的行业期待：AI 仅作辅助，律师应专业审核并对交付负责；向云端工具上传案件资料应先取得同意并脱敏；即使有同意，也不宜把敏感个人信息提供给云端 AI；应通过官方数据库或权威平台核验法条案例，并记录输入、输出和审改过程。</w:t>
      </w:r>
      <w:hyperlink r:id="rId35">
        <w:r>
          <w:rPr>
            <w:rFonts w:ascii="Calibri" w:hAnsi="Calibri" w:eastAsia="Microsoft YaHei"/>
            <w:color w:val="1F4E79"/>
            <w:u w:val="single"/>
          </w:rPr>
          <w:t>上海市律师协会 AI 工具使用指引</w:t>
        </w:r>
      </w:hyperlink>
    </w:p>
    <w:p>
      <w:pPr>
        <w:pStyle w:val="Heading2"/>
        <w:keepNext/>
        <w:keepLines/>
      </w:pPr>
      <w:r>
        <w:rPr>
          <w:rFonts w:ascii="Calibri" w:hAnsi="Calibri" w:eastAsia="Microsoft YaHei"/>
          <w:b/>
          <w:color w:val="1F4E79"/>
          <w:sz w:val="26"/>
        </w:rPr>
        <w:t>7.3 个人信息与敏感信息</w:t>
      </w:r>
    </w:p>
    <w:p>
      <w:r>
        <w:rPr>
          <w:rFonts w:ascii="Calibri" w:hAnsi="Calibri" w:eastAsia="Microsoft YaHei"/>
          <w:b w:val="0"/>
          <w:color w:val="1F2937"/>
          <w:sz w:val="22"/>
        </w:rPr>
        <w:t>案件材料经常包含当事人、对方、证人、员工和家庭成员的信息，产品不能只依赖“客户同意”。至少落实：</w:t>
      </w:r>
    </w:p>
    <w:p>
      <w:pPr>
        <w:pStyle w:val="ListBullet"/>
        <w:keepLines/>
      </w:pPr>
      <w:r>
        <w:rPr>
          <w:rFonts w:ascii="Calibri" w:hAnsi="Calibri" w:eastAsia="Microsoft YaHei"/>
          <w:b w:val="0"/>
          <w:color w:val="1F2937"/>
          <w:sz w:val="22"/>
        </w:rPr>
        <w:t>明确平台与律所是委托处理、共同处理还是独立处理，并签订相应协议；</w:t>
      </w:r>
    </w:p>
    <w:p>
      <w:pPr>
        <w:pStyle w:val="ListBullet"/>
        <w:keepLines/>
      </w:pPr>
      <w:r>
        <w:rPr>
          <w:rFonts w:ascii="Calibri" w:hAnsi="Calibri" w:eastAsia="Microsoft YaHei"/>
          <w:b w:val="0"/>
          <w:color w:val="1F2937"/>
          <w:sz w:val="22"/>
        </w:rPr>
        <w:t>目的限定、最小必要、保留期限、删除/返还和转委托控制；</w:t>
      </w:r>
    </w:p>
    <w:p>
      <w:pPr>
        <w:pStyle w:val="ListBullet"/>
        <w:keepLines/>
      </w:pPr>
      <w:r>
        <w:rPr>
          <w:rFonts w:ascii="Calibri" w:hAnsi="Calibri" w:eastAsia="Microsoft YaHei"/>
          <w:b w:val="0"/>
          <w:color w:val="1F2937"/>
          <w:sz w:val="22"/>
        </w:rPr>
        <w:t>对敏感个人信息、自动化决策、委托处理、对外提供或跨境开展事前个人信息保护影响评估；</w:t>
      </w:r>
    </w:p>
    <w:p>
      <w:pPr>
        <w:pStyle w:val="ListBullet"/>
        <w:keepLines/>
      </w:pPr>
      <w:r>
        <w:rPr>
          <w:rFonts w:ascii="Calibri" w:hAnsi="Calibri" w:eastAsia="Microsoft YaHei"/>
          <w:b w:val="0"/>
          <w:color w:val="1F2937"/>
          <w:sz w:val="22"/>
        </w:rPr>
        <w:t>分类管理、加密、去标识、最小权限、培训、应急预案和定期合规审计；</w:t>
      </w:r>
    </w:p>
    <w:p>
      <w:pPr>
        <w:pStyle w:val="ListBullet"/>
        <w:keepLines/>
      </w:pPr>
      <w:r>
        <w:rPr>
          <w:rFonts w:ascii="Calibri" w:hAnsi="Calibri" w:eastAsia="Microsoft YaHei"/>
          <w:b w:val="0"/>
          <w:color w:val="1F2937"/>
          <w:sz w:val="22"/>
        </w:rPr>
        <w:t>建立个人查阅、复制、更正、删除、撤回同意等请求流程；</w:t>
      </w:r>
    </w:p>
    <w:p>
      <w:pPr>
        <w:pStyle w:val="ListBullet"/>
        <w:keepLines/>
      </w:pPr>
      <w:r>
        <w:rPr>
          <w:rFonts w:ascii="Calibri" w:hAnsi="Calibri" w:eastAsia="Microsoft YaHei"/>
          <w:b w:val="0"/>
          <w:color w:val="1F2937"/>
          <w:sz w:val="22"/>
        </w:rPr>
        <w:t>影响评估和委托处理记录至少按法定要求保存。</w:t>
      </w:r>
    </w:p>
    <w:p>
      <w:r>
        <w:rPr>
          <w:rFonts w:ascii="Calibri" w:hAnsi="Calibri" w:eastAsia="Microsoft YaHei"/>
          <w:b w:val="0"/>
          <w:color w:val="1F2937"/>
          <w:sz w:val="22"/>
        </w:rPr>
        <w:t>《个人信息保护法》将生物识别、宗教信仰、特定身份、医疗健康、金融账户、行踪轨迹以及不满 14 周岁未成年人的信息列为敏感个人信息，要求特定目的、充分必要、严格保护措施，并通常需要单独同意；第 51—57 条要求分类、加密/去标识、权限、审计、影响评估和事件响应。</w:t>
      </w:r>
      <w:hyperlink r:id="rId31">
        <w:r>
          <w:rPr>
            <w:rFonts w:ascii="Calibri" w:hAnsi="Calibri" w:eastAsia="Microsoft YaHei"/>
            <w:color w:val="1F4E79"/>
            <w:u w:val="single"/>
          </w:rPr>
          <w:t>《个人信息保护法》</w:t>
        </w:r>
      </w:hyperlink>
    </w:p>
    <w:p>
      <w:pPr>
        <w:pStyle w:val="Heading2"/>
        <w:keepNext/>
        <w:keepLines/>
      </w:pPr>
      <w:r>
        <w:rPr>
          <w:rFonts w:ascii="Calibri" w:hAnsi="Calibri" w:eastAsia="Microsoft YaHei"/>
          <w:b/>
          <w:color w:val="1F4E79"/>
          <w:sz w:val="26"/>
        </w:rPr>
        <w:t>7.4 网络数据安全与委托处理</w:t>
      </w:r>
    </w:p>
    <w:p>
      <w:r>
        <w:rPr>
          <w:rFonts w:ascii="Calibri" w:hAnsi="Calibri" w:eastAsia="Microsoft YaHei"/>
          <w:b w:val="0"/>
          <w:color w:val="1F2937"/>
          <w:sz w:val="22"/>
        </w:rPr>
        <w:t>《网络数据安全管理条例》自 2025 年 1 月 1 日起施行，要求对提供或委托处理个人信息和重要数据通过合同约定目的、方式、范围和安全义务并监督接收方，相关处理记录至少保存三年；还要求事件预案、投诉渠道、合规审计和数据分类分级。</w:t>
      </w:r>
      <w:hyperlink r:id="rId36">
        <w:r>
          <w:rPr>
            <w:rFonts w:ascii="Calibri" w:hAnsi="Calibri" w:eastAsia="Microsoft YaHei"/>
            <w:color w:val="1F4E79"/>
            <w:u w:val="single"/>
          </w:rPr>
          <w:t>《网络数据安全管理条例》</w:t>
        </w:r>
      </w:hyperlink>
    </w:p>
    <w:p>
      <w:r>
        <w:rPr>
          <w:rFonts w:ascii="Calibri" w:hAnsi="Calibri" w:eastAsia="Microsoft YaHei"/>
          <w:b w:val="0"/>
          <w:color w:val="1F2937"/>
          <w:sz w:val="22"/>
        </w:rPr>
        <w:t>产品落地文件至少包括：</w:t>
      </w:r>
    </w:p>
    <w:p>
      <w:pPr>
        <w:pStyle w:val="ListNumber"/>
        <w:numPr>
          <w:ilvl w:val="0"/>
          <w:numId w:val="18"/>
        </w:numPr>
        <w:keepLines/>
      </w:pPr>
      <w:r>
        <w:rPr>
          <w:rFonts w:ascii="Calibri" w:hAnsi="Calibri" w:eastAsia="Microsoft YaHei"/>
          <w:b w:val="0"/>
          <w:color w:val="1F2937"/>
          <w:sz w:val="22"/>
        </w:rPr>
        <w:t>数据处理协议（DPA）；</w:t>
      </w:r>
    </w:p>
    <w:p>
      <w:pPr>
        <w:pStyle w:val="ListNumber"/>
        <w:numPr>
          <w:ilvl w:val="0"/>
          <w:numId w:val="18"/>
        </w:numPr>
        <w:keepLines/>
      </w:pPr>
      <w:r>
        <w:rPr>
          <w:rFonts w:ascii="Calibri" w:hAnsi="Calibri" w:eastAsia="Microsoft YaHei"/>
          <w:b w:val="0"/>
          <w:color w:val="1F2937"/>
          <w:sz w:val="22"/>
        </w:rPr>
        <w:t>子处理者清单和变更通知；</w:t>
      </w:r>
    </w:p>
    <w:p>
      <w:pPr>
        <w:pStyle w:val="ListNumber"/>
        <w:numPr>
          <w:ilvl w:val="0"/>
          <w:numId w:val="18"/>
        </w:numPr>
        <w:keepLines/>
      </w:pPr>
      <w:r>
        <w:rPr>
          <w:rFonts w:ascii="Calibri" w:hAnsi="Calibri" w:eastAsia="Microsoft YaHei"/>
          <w:b w:val="0"/>
          <w:color w:val="1F2937"/>
          <w:sz w:val="22"/>
        </w:rPr>
        <w:t>模型供应商附表（区域、训练、留存、人工访问）；</w:t>
      </w:r>
    </w:p>
    <w:p>
      <w:pPr>
        <w:pStyle w:val="ListNumber"/>
        <w:numPr>
          <w:ilvl w:val="0"/>
          <w:numId w:val="18"/>
        </w:numPr>
        <w:keepLines/>
      </w:pPr>
      <w:r>
        <w:rPr>
          <w:rFonts w:ascii="Calibri" w:hAnsi="Calibri" w:eastAsia="Microsoft YaHei"/>
          <w:b w:val="0"/>
          <w:color w:val="1F2937"/>
          <w:sz w:val="22"/>
        </w:rPr>
        <w:t>数据分类分级和允许模型矩阵；</w:t>
      </w:r>
    </w:p>
    <w:p>
      <w:pPr>
        <w:pStyle w:val="ListNumber"/>
        <w:numPr>
          <w:ilvl w:val="0"/>
          <w:numId w:val="18"/>
        </w:numPr>
        <w:keepLines/>
      </w:pPr>
      <w:r>
        <w:rPr>
          <w:rFonts w:ascii="Calibri" w:hAnsi="Calibri" w:eastAsia="Microsoft YaHei"/>
          <w:b w:val="0"/>
          <w:color w:val="1F2937"/>
          <w:sz w:val="22"/>
        </w:rPr>
        <w:t>客户删除、返还、法律保留和备份清除流程；</w:t>
      </w:r>
    </w:p>
    <w:p>
      <w:pPr>
        <w:pStyle w:val="ListNumber"/>
        <w:numPr>
          <w:ilvl w:val="0"/>
          <w:numId w:val="18"/>
        </w:numPr>
        <w:keepLines/>
      </w:pPr>
      <w:r>
        <w:rPr>
          <w:rFonts w:ascii="Calibri" w:hAnsi="Calibri" w:eastAsia="Microsoft YaHei"/>
          <w:b w:val="0"/>
          <w:color w:val="1F2937"/>
          <w:sz w:val="22"/>
        </w:rPr>
        <w:t>事件通知时限、证据保全和协作责任；</w:t>
      </w:r>
    </w:p>
    <w:p>
      <w:pPr>
        <w:pStyle w:val="ListNumber"/>
        <w:numPr>
          <w:ilvl w:val="0"/>
          <w:numId w:val="18"/>
        </w:numPr>
        <w:keepLines/>
      </w:pPr>
      <w:r>
        <w:rPr>
          <w:rFonts w:ascii="Calibri" w:hAnsi="Calibri" w:eastAsia="Microsoft YaHei"/>
          <w:b w:val="0"/>
          <w:color w:val="1F2937"/>
          <w:sz w:val="22"/>
        </w:rPr>
        <w:t>渗透测试、审计权、业务连续性和退出迁移条款。</w:t>
      </w:r>
    </w:p>
    <w:p>
      <w:pPr>
        <w:pStyle w:val="Heading2"/>
        <w:keepNext/>
        <w:keepLines/>
      </w:pPr>
      <w:r>
        <w:rPr>
          <w:rFonts w:ascii="Calibri" w:hAnsi="Calibri" w:eastAsia="Microsoft YaHei"/>
          <w:b/>
          <w:color w:val="1F4E79"/>
          <w:sz w:val="26"/>
        </w:rPr>
        <w:t>7.5 国家秘密、工作秘密与高敏案件</w:t>
      </w:r>
    </w:p>
    <w:p>
      <w:r>
        <w:rPr>
          <w:rFonts w:ascii="Calibri" w:hAnsi="Calibri" w:eastAsia="Microsoft YaHei"/>
          <w:b w:val="0"/>
          <w:color w:val="1F2937"/>
          <w:sz w:val="22"/>
        </w:rPr>
        <w:t>律师法要求律师保守执业中知悉的国家秘密、商业秘密，不得泄露当事人隐私。涉及国家秘密的案件不得进入普通云 SaaS、公共模型或常规支持渠道；应由客户先分类，并只在符合法定保密条件的专门系统和人员范围内处理。</w:t>
      </w:r>
      <w:hyperlink r:id="rId11">
        <w:r>
          <w:rPr>
            <w:rFonts w:ascii="Calibri" w:hAnsi="Calibri" w:eastAsia="Microsoft YaHei"/>
            <w:color w:val="1F4E79"/>
            <w:u w:val="single"/>
          </w:rPr>
          <w:t>《律师法》第三十八条</w:t>
        </w:r>
      </w:hyperlink>
      <w:r>
        <w:rPr>
          <w:rFonts w:ascii="Calibri" w:hAnsi="Calibri" w:eastAsia="Microsoft YaHei"/>
          <w:b w:val="0"/>
          <w:color w:val="1F2937"/>
          <w:sz w:val="22"/>
        </w:rPr>
        <w:t xml:space="preserve"> </w:t>
      </w:r>
      <w:hyperlink r:id="rId37">
        <w:r>
          <w:rPr>
            <w:rFonts w:ascii="Calibri" w:hAnsi="Calibri" w:eastAsia="Microsoft YaHei"/>
            <w:color w:val="1F4E79"/>
            <w:u w:val="single"/>
          </w:rPr>
          <w:t>新修订《保守国家秘密法》</w:t>
        </w:r>
      </w:hyperlink>
    </w:p>
    <w:p>
      <w:r>
        <w:rPr>
          <w:rFonts w:ascii="Calibri" w:hAnsi="Calibri" w:eastAsia="Microsoft YaHei"/>
          <w:b w:val="0"/>
          <w:color w:val="1F2937"/>
          <w:sz w:val="22"/>
        </w:rPr>
        <w:t>产品应在创建案件时强制询问：是否涉及国家秘密、工作秘密、侦查秘密、未公开重大交易、核心技术秘密或客户特别限制。命中后自动阻断普通部署，不允许用户仅靠点击免责声明继续。</w:t>
      </w:r>
    </w:p>
    <w:p>
      <w:pPr>
        <w:pStyle w:val="Heading2"/>
        <w:keepNext/>
        <w:keepLines/>
      </w:pPr>
      <w:r>
        <w:rPr>
          <w:rFonts w:ascii="Calibri" w:hAnsi="Calibri" w:eastAsia="Microsoft YaHei"/>
          <w:b/>
          <w:color w:val="1F4E79"/>
          <w:sz w:val="26"/>
        </w:rPr>
        <w:t>7.6 生成内容标识、备案与互联网资质</w:t>
      </w:r>
    </w:p>
    <w:p>
      <w:r>
        <w:rPr>
          <w:rFonts w:ascii="Calibri" w:hAnsi="Calibri" w:eastAsia="Microsoft YaHei"/>
          <w:b w:val="0"/>
          <w:color w:val="1F2937"/>
          <w:sz w:val="22"/>
        </w:rPr>
        <w:t>《人工智能生成合成内容标识办法》自 2025 年 9 月 1 日起施行，规定特定网络信息服务的显式/隐式标识、导出文件标识、用户协议、日志和备案材料要求。</w:t>
      </w:r>
      <w:hyperlink r:id="rId38">
        <w:r>
          <w:rPr>
            <w:rFonts w:ascii="Calibri" w:hAnsi="Calibri" w:eastAsia="Microsoft YaHei"/>
            <w:color w:val="1F4E79"/>
            <w:u w:val="single"/>
          </w:rPr>
          <w:t>《人工智能生成合成内容标识办法》</w:t>
        </w:r>
      </w:hyperlink>
    </w:p>
    <w:p>
      <w:r>
        <w:rPr>
          <w:rFonts w:ascii="Calibri" w:hAnsi="Calibri" w:eastAsia="Microsoft YaHei"/>
          <w:b w:val="0"/>
          <w:color w:val="1F2937"/>
          <w:sz w:val="22"/>
        </w:rPr>
        <w:t>产品设计建议：</w:t>
      </w:r>
    </w:p>
    <w:p>
      <w:pPr>
        <w:pStyle w:val="ListBullet"/>
        <w:keepLines/>
      </w:pPr>
      <w:r>
        <w:rPr>
          <w:rFonts w:ascii="Calibri" w:hAnsi="Calibri" w:eastAsia="Microsoft YaHei"/>
          <w:b w:val="0"/>
          <w:color w:val="1F2937"/>
          <w:sz w:val="22"/>
        </w:rPr>
        <w:t>内部草稿在 UI 中持续标记 AI 参与，不必以水印破坏律师内部编辑；</w:t>
      </w:r>
    </w:p>
    <w:p>
      <w:pPr>
        <w:pStyle w:val="ListBullet"/>
        <w:keepLines/>
      </w:pPr>
      <w:r>
        <w:rPr>
          <w:rFonts w:ascii="Calibri" w:hAnsi="Calibri" w:eastAsia="Microsoft YaHei"/>
          <w:b w:val="0"/>
          <w:color w:val="1F2937"/>
          <w:sz w:val="22"/>
        </w:rPr>
        <w:t>导出时根据用途和适用规则生成显式说明、文件元数据和审计清单；</w:t>
      </w:r>
    </w:p>
    <w:p>
      <w:pPr>
        <w:pStyle w:val="ListBullet"/>
        <w:keepLines/>
      </w:pPr>
      <w:r>
        <w:rPr>
          <w:rFonts w:ascii="Calibri" w:hAnsi="Calibri" w:eastAsia="Microsoft YaHei"/>
          <w:b w:val="0"/>
          <w:color w:val="1F2937"/>
          <w:sz w:val="22"/>
        </w:rPr>
        <w:t>律师大幅实质修改后的正式文书如何标识，应由专项法律意见和客户政策确定，不能一刀切；</w:t>
      </w:r>
    </w:p>
    <w:p>
      <w:pPr>
        <w:pStyle w:val="ListBullet"/>
        <w:keepLines/>
      </w:pPr>
      <w:r>
        <w:rPr>
          <w:rFonts w:ascii="Calibri" w:hAnsi="Calibri" w:eastAsia="Microsoft YaHei"/>
          <w:b w:val="0"/>
          <w:color w:val="1F2937"/>
          <w:sz w:val="22"/>
        </w:rPr>
        <w:t>对外公开宣传材料、图像、音视频必须使用提供者标识能力；</w:t>
      </w:r>
    </w:p>
    <w:p>
      <w:pPr>
        <w:pStyle w:val="ListBullet"/>
        <w:keepLines/>
      </w:pPr>
      <w:r>
        <w:rPr>
          <w:rFonts w:ascii="Calibri" w:hAnsi="Calibri" w:eastAsia="Microsoft YaHei"/>
          <w:b w:val="0"/>
          <w:color w:val="1F2937"/>
          <w:sz w:val="22"/>
        </w:rPr>
        <w:t>保留“生成—人工修订—批准—导出”的证据链。</w:t>
      </w:r>
    </w:p>
    <w:p>
      <w:r>
        <w:rPr>
          <w:rFonts w:ascii="Calibri" w:hAnsi="Calibri" w:eastAsia="Microsoft YaHei"/>
          <w:b w:val="0"/>
          <w:color w:val="1F2937"/>
          <w:sz w:val="22"/>
        </w:rPr>
        <w:t>若向公众提供具有舆论属性或社会动员能力的生成式服务，需关注安全评估与算法备案；产品是否需要算法备案应按实际服务范围、功能和主管部门口径判断，不凭“B2B”标签自动豁免。</w:t>
      </w:r>
    </w:p>
    <w:p>
      <w:r>
        <w:rPr>
          <w:rFonts w:ascii="Calibri" w:hAnsi="Calibri" w:eastAsia="Microsoft YaHei"/>
          <w:b w:val="0"/>
          <w:color w:val="1F2937"/>
          <w:sz w:val="22"/>
        </w:rPr>
        <w:t>经营性互联网信息服务和非经营性服务分别涉及许可或备案制度；具体 ICP/EDI 等资质要结合收费模式、平台功能和电信业务分类由专业机构确认。</w:t>
      </w:r>
      <w:hyperlink r:id="rId39">
        <w:r>
          <w:rPr>
            <w:rFonts w:ascii="Calibri" w:hAnsi="Calibri" w:eastAsia="Microsoft YaHei"/>
            <w:color w:val="1F4E79"/>
            <w:u w:val="single"/>
          </w:rPr>
          <w:t>《互联网信息服务管理办法》</w:t>
        </w:r>
      </w:hyperlink>
    </w:p>
    <w:p>
      <w:pPr>
        <w:pStyle w:val="Heading2"/>
        <w:keepNext/>
        <w:keepLines/>
      </w:pPr>
      <w:r>
        <w:rPr>
          <w:rFonts w:ascii="Calibri" w:hAnsi="Calibri" w:eastAsia="Microsoft YaHei"/>
          <w:b/>
          <w:color w:val="1F4E79"/>
          <w:sz w:val="26"/>
        </w:rPr>
        <w:t>7.7 网络安全等级保护与标准基线</w:t>
      </w:r>
    </w:p>
    <w:p>
      <w:r>
        <w:rPr>
          <w:rFonts w:ascii="Calibri" w:hAnsi="Calibri" w:eastAsia="Microsoft YaHei"/>
          <w:b w:val="0"/>
          <w:color w:val="1F2937"/>
          <w:sz w:val="22"/>
        </w:rPr>
        <w:t xml:space="preserve">建议收费 SaaS 从设计期按 </w:t>
      </w:r>
      <w:r>
        <w:rPr>
          <w:rFonts w:ascii="Calibri" w:hAnsi="Calibri" w:eastAsia="Microsoft YaHei"/>
          <w:b/>
          <w:color w:val="1F2937"/>
          <w:sz w:val="22"/>
        </w:rPr>
        <w:t>等保三级能力目标</w:t>
      </w:r>
      <w:r>
        <w:rPr>
          <w:rFonts w:ascii="Calibri" w:hAnsi="Calibri" w:eastAsia="Microsoft YaHei"/>
          <w:b w:val="0"/>
          <w:color w:val="1F2937"/>
          <w:sz w:val="22"/>
        </w:rPr>
        <w:t xml:space="preserve"> 建设，但最终等级应依照系统服务对象、受侵害后的影响和主管要求正式定级、备案与测评，不能在规划阶段直接宣称“法律强制三级”。</w:t>
      </w:r>
    </w:p>
    <w:p>
      <w:r>
        <w:rPr>
          <w:rFonts w:ascii="Calibri" w:hAnsi="Calibri" w:eastAsia="Microsoft YaHei"/>
          <w:b w:val="0"/>
          <w:color w:val="1F2937"/>
          <w:sz w:val="22"/>
        </w:rPr>
        <w:t>安全基线同时映射：</w:t>
      </w:r>
    </w:p>
    <w:p>
      <w:pPr>
        <w:pStyle w:val="ListBullet"/>
        <w:keepLines/>
      </w:pPr>
      <w:r>
        <w:rPr>
          <w:rFonts w:ascii="Calibri" w:hAnsi="Calibri" w:eastAsia="Microsoft YaHei"/>
          <w:b w:val="0"/>
          <w:color w:val="1F2937"/>
          <w:sz w:val="22"/>
        </w:rPr>
        <w:t>GB/T 22239—2019《网络安全等级保护基本要求》；</w:t>
      </w:r>
    </w:p>
    <w:p>
      <w:pPr>
        <w:pStyle w:val="ListBullet"/>
        <w:keepLines/>
      </w:pPr>
      <w:r>
        <w:rPr>
          <w:rFonts w:ascii="Calibri" w:hAnsi="Calibri" w:eastAsia="Microsoft YaHei"/>
          <w:b w:val="0"/>
          <w:color w:val="1F2937"/>
          <w:sz w:val="22"/>
        </w:rPr>
        <w:t>GB/T 43697—2024《数据安全技术 数据分类分级规则》；</w:t>
      </w:r>
    </w:p>
    <w:p>
      <w:pPr>
        <w:pStyle w:val="ListBullet"/>
        <w:keepLines/>
      </w:pPr>
      <w:r>
        <w:rPr>
          <w:rFonts w:ascii="Calibri" w:hAnsi="Calibri" w:eastAsia="Microsoft YaHei"/>
          <w:b w:val="0"/>
          <w:color w:val="1F2937"/>
          <w:sz w:val="22"/>
        </w:rPr>
        <w:t>GB/T 35273—2020《个人信息安全规范》；</w:t>
      </w:r>
    </w:p>
    <w:p>
      <w:pPr>
        <w:pStyle w:val="ListBullet"/>
        <w:keepLines/>
      </w:pPr>
      <w:r>
        <w:rPr>
          <w:rFonts w:ascii="Calibri" w:hAnsi="Calibri" w:eastAsia="Microsoft YaHei"/>
          <w:b w:val="0"/>
          <w:color w:val="1F2937"/>
          <w:sz w:val="22"/>
        </w:rPr>
        <w:t>GB/T 45654—2025《网络安全技术 生成式人工智能服务安全基本要求》；</w:t>
      </w:r>
    </w:p>
    <w:p>
      <w:pPr>
        <w:pStyle w:val="ListBullet"/>
        <w:keepLines/>
      </w:pPr>
      <w:r>
        <w:rPr>
          <w:rFonts w:ascii="Calibri" w:hAnsi="Calibri" w:eastAsia="Microsoft YaHei"/>
          <w:b w:val="0"/>
          <w:color w:val="1F2937"/>
          <w:sz w:val="22"/>
        </w:rPr>
        <w:t>客户要求时补充 ISO/IEC 27001、27701、27017/27018 和 SOC 2 控制映射。</w:t>
      </w:r>
    </w:p>
    <w:p>
      <w:hyperlink r:id="rId40">
        <w:r>
          <w:rPr>
            <w:rFonts w:ascii="Calibri" w:hAnsi="Calibri" w:eastAsia="Microsoft YaHei"/>
            <w:color w:val="1F4E79"/>
            <w:u w:val="single"/>
          </w:rPr>
          <w:t>GB/T 22239—2019</w:t>
        </w:r>
      </w:hyperlink>
      <w:r>
        <w:rPr>
          <w:rFonts w:ascii="Calibri" w:hAnsi="Calibri" w:eastAsia="Microsoft YaHei"/>
          <w:b w:val="0"/>
          <w:color w:val="1F2937"/>
          <w:sz w:val="22"/>
        </w:rPr>
        <w:t xml:space="preserve"> </w:t>
      </w:r>
      <w:hyperlink r:id="rId41">
        <w:r>
          <w:rPr>
            <w:rFonts w:ascii="Calibri" w:hAnsi="Calibri" w:eastAsia="Microsoft YaHei"/>
            <w:color w:val="1F4E79"/>
            <w:u w:val="single"/>
          </w:rPr>
          <w:t>GB/T 43697—2024</w:t>
        </w:r>
      </w:hyperlink>
      <w:r>
        <w:rPr>
          <w:rFonts w:ascii="Calibri" w:hAnsi="Calibri" w:eastAsia="Microsoft YaHei"/>
          <w:b w:val="0"/>
          <w:color w:val="1F2937"/>
          <w:sz w:val="22"/>
        </w:rPr>
        <w:t xml:space="preserve"> </w:t>
      </w:r>
      <w:hyperlink r:id="rId42">
        <w:r>
          <w:rPr>
            <w:rFonts w:ascii="Calibri" w:hAnsi="Calibri" w:eastAsia="Microsoft YaHei"/>
            <w:color w:val="1F4E79"/>
            <w:u w:val="single"/>
          </w:rPr>
          <w:t>GB/T 35273—2020</w:t>
        </w:r>
      </w:hyperlink>
      <w:r>
        <w:rPr>
          <w:rFonts w:ascii="Calibri" w:hAnsi="Calibri" w:eastAsia="Microsoft YaHei"/>
          <w:b w:val="0"/>
          <w:color w:val="1F2937"/>
          <w:sz w:val="22"/>
        </w:rPr>
        <w:t xml:space="preserve"> </w:t>
      </w:r>
      <w:hyperlink r:id="rId43">
        <w:r>
          <w:rPr>
            <w:rFonts w:ascii="Calibri" w:hAnsi="Calibri" w:eastAsia="Microsoft YaHei"/>
            <w:color w:val="1F4E79"/>
            <w:u w:val="single"/>
          </w:rPr>
          <w:t>GB/T 45654—2025</w:t>
        </w:r>
      </w:hyperlink>
    </w:p>
    <w:p>
      <w:pPr>
        <w:pStyle w:val="Heading2"/>
        <w:keepNext/>
        <w:keepLines/>
      </w:pPr>
      <w:r>
        <w:rPr>
          <w:rFonts w:ascii="Calibri" w:hAnsi="Calibri" w:eastAsia="Microsoft YaHei"/>
          <w:b/>
          <w:color w:val="1F4E79"/>
          <w:sz w:val="26"/>
        </w:rPr>
        <w:t>7.8 上线前合规交付包</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4680"/>
        <w:gridCol w:w="4680"/>
      </w:tblGrid>
      <w:tr>
        <w:trPr>
          <w:cantSplit/>
          <w:tblHeader w:val="true"/>
        </w:trPr>
        <w:tc>
          <w:tcPr>
            <w:tcW w:type="dxa" w:w="229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类别</w:t>
            </w:r>
          </w:p>
        </w:tc>
        <w:tc>
          <w:tcPr>
            <w:tcW w:type="dxa" w:w="706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必备文件/证据</w:t>
            </w:r>
          </w:p>
        </w:tc>
      </w:tr>
      <w:tr>
        <w:trPr>
          <w:cantSplit/>
        </w:trPr>
        <w:tc>
          <w:tcPr>
            <w:tcW w:type="dxa" w:w="229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公司治理</w:t>
            </w:r>
          </w:p>
        </w:tc>
        <w:tc>
          <w:tcPr>
            <w:tcW w:type="dxa" w:w="706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AI 治理制度、数据安全负责人、个人信息负责人（达到条件时）、职责分离</w:t>
            </w:r>
          </w:p>
        </w:tc>
      </w:tr>
      <w:tr>
        <w:trPr>
          <w:cantSplit/>
        </w:trPr>
        <w:tc>
          <w:tcPr>
            <w:tcW w:type="dxa" w:w="229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产品规则</w:t>
            </w:r>
          </w:p>
        </w:tc>
        <w:tc>
          <w:tcPr>
            <w:tcW w:type="dxa" w:w="706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用户协议、隐私政策、AI 功能与局限说明、可接受使用政策、投诉流程</w:t>
            </w:r>
          </w:p>
        </w:tc>
      </w:tr>
      <w:tr>
        <w:trPr>
          <w:cantSplit/>
        </w:trPr>
        <w:tc>
          <w:tcPr>
            <w:tcW w:type="dxa" w:w="229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客户合同</w:t>
            </w:r>
          </w:p>
        </w:tc>
        <w:tc>
          <w:tcPr>
            <w:tcW w:type="dxa" w:w="706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主服务协议、DPA、SLA、子处理者、部署说明、数据退出、责任与保险</w:t>
            </w:r>
          </w:p>
        </w:tc>
      </w:tr>
      <w:tr>
        <w:trPr>
          <w:cantSplit/>
        </w:trPr>
        <w:tc>
          <w:tcPr>
            <w:tcW w:type="dxa" w:w="229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数据</w:t>
            </w:r>
          </w:p>
        </w:tc>
        <w:tc>
          <w:tcPr>
            <w:tcW w:type="dxa" w:w="706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数据地图、分类分级、处理活动记录、保留表、PIPIA、跨境评估（如有）</w:t>
            </w:r>
          </w:p>
        </w:tc>
      </w:tr>
      <w:tr>
        <w:trPr>
          <w:cantSplit/>
        </w:trPr>
        <w:tc>
          <w:tcPr>
            <w:tcW w:type="dxa" w:w="229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模型</w:t>
            </w:r>
          </w:p>
        </w:tc>
        <w:tc>
          <w:tcPr>
            <w:tcW w:type="dxa" w:w="706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供应商尽调、备案/合规证明、训练/留存/区域条款、模型卡、回归报告</w:t>
            </w:r>
          </w:p>
        </w:tc>
      </w:tr>
      <w:tr>
        <w:trPr>
          <w:cantSplit/>
        </w:trPr>
        <w:tc>
          <w:tcPr>
            <w:tcW w:type="dxa" w:w="229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w:t>
            </w:r>
          </w:p>
        </w:tc>
        <w:tc>
          <w:tcPr>
            <w:tcW w:type="dxa" w:w="706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威胁模型、架构审查、渗透测试、SBOM、漏洞管理、灾备演练、事件预案</w:t>
            </w:r>
          </w:p>
        </w:tc>
      </w:tr>
      <w:tr>
        <w:trPr>
          <w:cantSplit/>
        </w:trPr>
        <w:tc>
          <w:tcPr>
            <w:tcW w:type="dxa" w:w="229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法律内容</w:t>
            </w:r>
          </w:p>
        </w:tc>
        <w:tc>
          <w:tcPr>
            <w:tcW w:type="dxa" w:w="706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数据许可、更新 SLA、法源层级与时效规则、引用格式和错误更正机制</w:t>
            </w:r>
          </w:p>
        </w:tc>
      </w:tr>
      <w:tr>
        <w:trPr>
          <w:cantSplit/>
        </w:trPr>
        <w:tc>
          <w:tcPr>
            <w:tcW w:type="dxa" w:w="229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职业责任</w:t>
            </w:r>
          </w:p>
        </w:tc>
        <w:tc>
          <w:tcPr>
            <w:tcW w:type="dxa" w:w="706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客户 AI 使用告知模板、律师审核清单、利益冲突/伦理墙流程、导出审批</w:t>
            </w:r>
          </w:p>
        </w:tc>
      </w:tr>
      <w:tr>
        <w:trPr>
          <w:cantSplit/>
        </w:trPr>
        <w:tc>
          <w:tcPr>
            <w:tcW w:type="dxa" w:w="229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生成内容</w:t>
            </w:r>
          </w:p>
        </w:tc>
        <w:tc>
          <w:tcPr>
            <w:tcW w:type="dxa" w:w="706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标识策略、元数据实现、导出日志和适用性分析</w:t>
            </w:r>
          </w:p>
        </w:tc>
      </w:tr>
      <w:tr>
        <w:trPr>
          <w:cantSplit/>
        </w:trPr>
        <w:tc>
          <w:tcPr>
            <w:tcW w:type="dxa" w:w="229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评测</w:t>
            </w:r>
          </w:p>
        </w:tc>
        <w:tc>
          <w:tcPr>
            <w:tcW w:type="dxa" w:w="706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金标集授权、质量报告、红队报告、已知限制、上线/回滚门禁</w:t>
            </w:r>
          </w:p>
        </w:tc>
      </w:tr>
    </w:tbl>
    <w:p>
      <w:pPr>
        <w:spacing w:after="0"/>
      </w:pPr>
    </w:p>
    <w:p>
      <w:pPr>
        <w:pStyle w:val="Heading1"/>
        <w:keepNext/>
        <w:keepLines/>
      </w:pPr>
      <w:r>
        <w:rPr>
          <w:rFonts w:ascii="Calibri" w:hAnsi="Calibri" w:eastAsia="Microsoft YaHei"/>
          <w:b/>
          <w:color w:val="1F4E79"/>
          <w:sz w:val="32"/>
        </w:rPr>
        <w:t>八、质量、评测与人机责任</w:t>
      </w:r>
    </w:p>
    <w:p>
      <w:pPr>
        <w:pStyle w:val="Heading2"/>
        <w:keepNext/>
        <w:keepLines/>
      </w:pPr>
      <w:r>
        <w:rPr>
          <w:rFonts w:ascii="Calibri" w:hAnsi="Calibri" w:eastAsia="Microsoft YaHei"/>
          <w:b/>
          <w:color w:val="1F4E79"/>
          <w:sz w:val="26"/>
        </w:rPr>
        <w:t>8.1 “准确率”不能作为单一质量指标</w:t>
      </w:r>
    </w:p>
    <w:p>
      <w:r>
        <w:rPr>
          <w:rFonts w:ascii="Calibri" w:hAnsi="Calibri" w:eastAsia="Microsoft YaHei"/>
          <w:b w:val="0"/>
          <w:color w:val="1F2937"/>
          <w:sz w:val="22"/>
        </w:rPr>
        <w:t>法律工作中的错误成本不均等：把一个普通日期识别错和虚构一个决定案件走向的司法解释，不能平均成同一准确率。采用分层指标：</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135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层级</w:t>
            </w:r>
          </w:p>
        </w:tc>
        <w:tc>
          <w:tcPr>
            <w:tcW w:type="dxa" w:w="382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指标</w:t>
            </w:r>
          </w:p>
        </w:tc>
        <w:tc>
          <w:tcPr>
            <w:tcW w:type="dxa" w:w="417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收费 V1 目标/门禁</w:t>
            </w:r>
          </w:p>
        </w:tc>
      </w:tr>
      <w:tr>
        <w:trPr>
          <w:cantSplit/>
        </w:trPr>
        <w:tc>
          <w:tcPr>
            <w:tcW w:type="dxa" w:w="13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摄取</w:t>
            </w:r>
          </w:p>
        </w:tc>
        <w:tc>
          <w:tcPr>
            <w:tcW w:type="dxa" w:w="382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文件成功率、页数一致、OCR 字符/字段质量</w:t>
            </w:r>
          </w:p>
        </w:tc>
        <w:tc>
          <w:tcPr>
            <w:tcW w:type="dxa" w:w="417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关键文件 100% 入清单；低质页可识别并转人工</w:t>
            </w:r>
          </w:p>
        </w:tc>
      </w:tr>
      <w:tr>
        <w:trPr>
          <w:cantSplit/>
        </w:trPr>
        <w:tc>
          <w:tcPr>
            <w:tcW w:type="dxa" w:w="135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事实</w:t>
            </w:r>
          </w:p>
        </w:tc>
        <w:tc>
          <w:tcPr>
            <w:tcW w:type="dxa" w:w="382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关键实体召回、事件准确、金额/日期准确</w:t>
            </w:r>
          </w:p>
        </w:tc>
        <w:tc>
          <w:tcPr>
            <w:tcW w:type="dxa" w:w="417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金额和日期以字段级评测；重要事实必须有人审</w:t>
            </w:r>
          </w:p>
        </w:tc>
      </w:tr>
      <w:tr>
        <w:trPr>
          <w:cantSplit/>
        </w:trPr>
        <w:tc>
          <w:tcPr>
            <w:tcW w:type="dxa" w:w="13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来源</w:t>
            </w:r>
          </w:p>
        </w:tc>
        <w:tc>
          <w:tcPr>
            <w:tcW w:type="dxa" w:w="382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事实锚点覆盖、页码可达、摘录一致</w:t>
            </w:r>
          </w:p>
        </w:tc>
        <w:tc>
          <w:tcPr>
            <w:tcW w:type="dxa" w:w="417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外发重要命题来源覆盖率 100%</w:t>
            </w:r>
          </w:p>
        </w:tc>
      </w:tr>
      <w:tr>
        <w:trPr>
          <w:cantSplit/>
        </w:trPr>
        <w:tc>
          <w:tcPr>
            <w:tcW w:type="dxa" w:w="135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法源</w:t>
            </w:r>
          </w:p>
        </w:tc>
        <w:tc>
          <w:tcPr>
            <w:tcW w:type="dxa" w:w="382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引用存在、有效状态、时点、层级、命题支持</w:t>
            </w:r>
          </w:p>
        </w:tc>
        <w:tc>
          <w:tcPr>
            <w:tcW w:type="dxa" w:w="417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虚构引证 0；阻断所有失效/无法验证引用</w:t>
            </w:r>
          </w:p>
        </w:tc>
      </w:tr>
      <w:tr>
        <w:trPr>
          <w:cantSplit/>
        </w:trPr>
        <w:tc>
          <w:tcPr>
            <w:tcW w:type="dxa" w:w="13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推理</w:t>
            </w:r>
          </w:p>
        </w:tc>
        <w:tc>
          <w:tcPr>
            <w:tcW w:type="dxa" w:w="382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要件覆盖、反方观点、未知项识别</w:t>
            </w:r>
          </w:p>
        </w:tc>
        <w:tc>
          <w:tcPr>
            <w:tcW w:type="dxa" w:w="417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由两名律师盲评；不能只由模型评分</w:t>
            </w:r>
          </w:p>
        </w:tc>
      </w:tr>
      <w:tr>
        <w:trPr>
          <w:cantSplit/>
        </w:trPr>
        <w:tc>
          <w:tcPr>
            <w:tcW w:type="dxa" w:w="135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文书</w:t>
            </w:r>
          </w:p>
        </w:tc>
        <w:tc>
          <w:tcPr>
            <w:tcW w:type="dxa" w:w="382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事实一致、请求和计算、格式、语言</w:t>
            </w:r>
          </w:p>
        </w:tc>
        <w:tc>
          <w:tcPr>
            <w:tcW w:type="dxa" w:w="417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所有阻断项清零后才可批准</w:t>
            </w:r>
          </w:p>
        </w:tc>
      </w:tr>
      <w:tr>
        <w:trPr>
          <w:cantSplit/>
        </w:trPr>
        <w:tc>
          <w:tcPr>
            <w:tcW w:type="dxa" w:w="13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安全</w:t>
            </w:r>
          </w:p>
        </w:tc>
        <w:tc>
          <w:tcPr>
            <w:tcW w:type="dxa" w:w="382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跨租户泄露、越权工具、提示注入</w:t>
            </w:r>
          </w:p>
        </w:tc>
        <w:tc>
          <w:tcPr>
            <w:tcW w:type="dxa" w:w="417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关键攻击成功数 0</w:t>
            </w:r>
          </w:p>
        </w:tc>
      </w:tr>
      <w:tr>
        <w:trPr>
          <w:cantSplit/>
        </w:trPr>
        <w:tc>
          <w:tcPr>
            <w:tcW w:type="dxa" w:w="135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效率</w:t>
            </w:r>
          </w:p>
        </w:tc>
        <w:tc>
          <w:tcPr>
            <w:tcW w:type="dxa" w:w="382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总工时、人工复核工时、返工率</w:t>
            </w:r>
          </w:p>
        </w:tc>
        <w:tc>
          <w:tcPr>
            <w:tcW w:type="dxa" w:w="417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净工时下降 ≥30%，不牺牲质量</w:t>
            </w:r>
          </w:p>
        </w:tc>
      </w:tr>
      <w:tr>
        <w:trPr>
          <w:cantSplit/>
        </w:trPr>
        <w:tc>
          <w:tcPr>
            <w:tcW w:type="dxa" w:w="135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使用</w:t>
            </w:r>
          </w:p>
        </w:tc>
        <w:tc>
          <w:tcPr>
            <w:tcW w:type="dxa" w:w="382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律师采纳、周活、工作包完成率</w:t>
            </w:r>
          </w:p>
        </w:tc>
        <w:tc>
          <w:tcPr>
            <w:tcW w:type="dxa" w:w="417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试点工作包完整完成率 ≥70%</w:t>
            </w:r>
          </w:p>
        </w:tc>
      </w:tr>
    </w:tbl>
    <w:p>
      <w:pPr>
        <w:spacing w:after="0"/>
      </w:pPr>
    </w:p>
    <w:p>
      <w:r>
        <w:rPr>
          <w:rFonts w:ascii="Calibri" w:hAnsi="Calibri" w:eastAsia="Microsoft YaHei"/>
          <w:b w:val="0"/>
          <w:color w:val="1F2937"/>
          <w:sz w:val="22"/>
        </w:rPr>
        <w:t>上述数值是内部产品门禁，应在试点中根据案由难度重新校准，不构成质量承诺。对“虚构法源”“跨租户泄露”“未批准外发”等高严重度问题采用零容忍发布门禁。</w:t>
      </w:r>
    </w:p>
    <w:p>
      <w:pPr>
        <w:pStyle w:val="Heading2"/>
        <w:keepNext/>
        <w:keepLines/>
      </w:pPr>
      <w:r>
        <w:rPr>
          <w:rFonts w:ascii="Calibri" w:hAnsi="Calibri" w:eastAsia="Microsoft YaHei"/>
          <w:b/>
          <w:color w:val="1F4E79"/>
          <w:sz w:val="26"/>
        </w:rPr>
        <w:t>8.2 金标评测集</w:t>
      </w:r>
    </w:p>
    <w:p>
      <w:pPr>
        <w:pStyle w:val="Heading3"/>
        <w:keepNext/>
        <w:keepLines/>
      </w:pPr>
      <w:r>
        <w:rPr>
          <w:rFonts w:ascii="Calibri" w:hAnsi="Calibri" w:eastAsia="Microsoft YaHei"/>
          <w:b/>
          <w:color w:val="17365D"/>
          <w:sz w:val="24"/>
        </w:rPr>
        <w:t>构成</w:t>
      </w:r>
    </w:p>
    <w:p>
      <w:pPr>
        <w:pStyle w:val="ListBullet"/>
        <w:keepLines/>
      </w:pPr>
      <w:r>
        <w:rPr>
          <w:rFonts w:ascii="Calibri" w:hAnsi="Calibri" w:eastAsia="Microsoft YaHei"/>
          <w:b w:val="0"/>
          <w:color w:val="1F2937"/>
          <w:sz w:val="22"/>
        </w:rPr>
        <w:t>100 个经合法授权并去标识的商业合同案件，覆盖原告/被告、不同地区和材料质量；</w:t>
      </w:r>
    </w:p>
    <w:p>
      <w:pPr>
        <w:pStyle w:val="ListBullet"/>
        <w:keepLines/>
      </w:pPr>
      <w:r>
        <w:rPr>
          <w:rFonts w:ascii="Calibri" w:hAnsi="Calibri" w:eastAsia="Microsoft YaHei"/>
          <w:b w:val="0"/>
          <w:color w:val="1F2937"/>
          <w:sz w:val="22"/>
        </w:rPr>
        <w:t>每案由两名律师独立标注，争议项由第三名资深律师裁决；</w:t>
      </w:r>
    </w:p>
    <w:p>
      <w:pPr>
        <w:pStyle w:val="ListBullet"/>
        <w:keepLines/>
      </w:pPr>
      <w:r>
        <w:rPr>
          <w:rFonts w:ascii="Calibri" w:hAnsi="Calibri" w:eastAsia="Microsoft YaHei"/>
          <w:b w:val="0"/>
          <w:color w:val="1F2937"/>
          <w:sz w:val="22"/>
        </w:rPr>
        <w:t>原件、实体、事件、要件、证据映射、法源、初稿和审阅记录分层标注；</w:t>
      </w:r>
    </w:p>
    <w:p>
      <w:pPr>
        <w:pStyle w:val="ListBullet"/>
        <w:keepLines/>
      </w:pPr>
      <w:r>
        <w:rPr>
          <w:rFonts w:ascii="Calibri" w:hAnsi="Calibri" w:eastAsia="Microsoft YaHei"/>
          <w:b w:val="0"/>
          <w:color w:val="1F2937"/>
          <w:sz w:val="22"/>
        </w:rPr>
        <w:t>特别构造缺页、重复、金额冲突、撤回陈述、扫描件、过期法条和对抗提示注入；</w:t>
      </w:r>
    </w:p>
    <w:p>
      <w:pPr>
        <w:pStyle w:val="ListBullet"/>
        <w:keepLines/>
      </w:pPr>
      <w:r>
        <w:rPr>
          <w:rFonts w:ascii="Calibri" w:hAnsi="Calibri" w:eastAsia="Microsoft YaHei"/>
          <w:b w:val="0"/>
          <w:color w:val="1F2937"/>
          <w:sz w:val="22"/>
        </w:rPr>
        <w:t>时间切片评测：系统必须按案件发生/检索时点使用当时有效法源。</w:t>
      </w:r>
    </w:p>
    <w:p>
      <w:pPr>
        <w:pStyle w:val="Heading3"/>
        <w:keepNext/>
        <w:keepLines/>
      </w:pPr>
      <w:r>
        <w:rPr>
          <w:rFonts w:ascii="Calibri" w:hAnsi="Calibri" w:eastAsia="Microsoft YaHei"/>
          <w:b/>
          <w:color w:val="17365D"/>
          <w:sz w:val="24"/>
        </w:rPr>
        <w:t>数据合法性</w:t>
      </w:r>
    </w:p>
    <w:p>
      <w:pPr>
        <w:pStyle w:val="ListBullet"/>
        <w:keepLines/>
      </w:pPr>
      <w:r>
        <w:rPr>
          <w:rFonts w:ascii="Calibri" w:hAnsi="Calibri" w:eastAsia="Microsoft YaHei"/>
          <w:b w:val="0"/>
          <w:color w:val="1F2937"/>
          <w:sz w:val="22"/>
        </w:rPr>
        <w:t>明确评测目的、授权范围、保存期限和访问人员；</w:t>
      </w:r>
    </w:p>
    <w:p>
      <w:pPr>
        <w:pStyle w:val="ListBullet"/>
        <w:keepLines/>
      </w:pPr>
      <w:r>
        <w:rPr>
          <w:rFonts w:ascii="Calibri" w:hAnsi="Calibri" w:eastAsia="Microsoft YaHei"/>
          <w:b w:val="0"/>
          <w:color w:val="1F2937"/>
          <w:sz w:val="22"/>
        </w:rPr>
        <w:t>优先使用合成卷宗 + 公开权威案例 + 客户单独授权样本；</w:t>
      </w:r>
    </w:p>
    <w:p>
      <w:pPr>
        <w:pStyle w:val="ListBullet"/>
        <w:keepLines/>
      </w:pPr>
      <w:r>
        <w:rPr>
          <w:rFonts w:ascii="Calibri" w:hAnsi="Calibri" w:eastAsia="Microsoft YaHei"/>
          <w:b w:val="0"/>
          <w:color w:val="1F2937"/>
          <w:sz w:val="22"/>
        </w:rPr>
        <w:t>去标识不能只删除姓名，还需处理地址、单位、案号、金额组合和图像；</w:t>
      </w:r>
    </w:p>
    <w:p>
      <w:pPr>
        <w:pStyle w:val="ListBullet"/>
        <w:keepLines/>
      </w:pPr>
      <w:r>
        <w:rPr>
          <w:rFonts w:ascii="Calibri" w:hAnsi="Calibri" w:eastAsia="Microsoft YaHei"/>
          <w:b w:val="0"/>
          <w:color w:val="1F2937"/>
          <w:sz w:val="22"/>
        </w:rPr>
        <w:t>客户案件不得因“改进模型”被默认纳入；</w:t>
      </w:r>
    </w:p>
    <w:p>
      <w:pPr>
        <w:pStyle w:val="ListBullet"/>
        <w:keepLines/>
      </w:pPr>
      <w:r>
        <w:rPr>
          <w:rFonts w:ascii="Calibri" w:hAnsi="Calibri" w:eastAsia="Microsoft YaHei"/>
          <w:b w:val="0"/>
          <w:color w:val="1F2937"/>
          <w:sz w:val="22"/>
        </w:rPr>
        <w:t>评测集与训练/提示优化集严格隔离，防止数据污染。</w:t>
      </w:r>
    </w:p>
    <w:p>
      <w:pPr>
        <w:pStyle w:val="Heading2"/>
        <w:keepNext/>
        <w:keepLines/>
      </w:pPr>
      <w:r>
        <w:rPr>
          <w:rFonts w:ascii="Calibri" w:hAnsi="Calibri" w:eastAsia="Microsoft YaHei"/>
          <w:b/>
          <w:color w:val="1F4E79"/>
          <w:sz w:val="26"/>
        </w:rPr>
        <w:t>8.3 评测矩阵</w:t>
      </w:r>
    </w:p>
    <w:p>
      <w:r>
        <w:rPr>
          <w:rFonts w:ascii="Calibri" w:hAnsi="Calibri" w:eastAsia="Microsoft YaHei"/>
          <w:b w:val="0"/>
          <w:color w:val="1F2937"/>
          <w:sz w:val="22"/>
        </w:rPr>
        <w:t>每次模型、提示、检索器、OCR、法律数据库或工具 schema 更新，至少执行：</w:t>
      </w:r>
    </w:p>
    <w:p>
      <w:pPr>
        <w:pStyle w:val="ListNumber"/>
        <w:numPr>
          <w:ilvl w:val="0"/>
          <w:numId w:val="19"/>
        </w:numPr>
        <w:keepLines/>
      </w:pPr>
      <w:r>
        <w:rPr>
          <w:rFonts w:ascii="Calibri" w:hAnsi="Calibri" w:eastAsia="Microsoft YaHei"/>
          <w:b/>
          <w:color w:val="1F2937"/>
          <w:sz w:val="22"/>
        </w:rPr>
        <w:t>离线单元评测</w:t>
      </w:r>
      <w:r>
        <w:rPr>
          <w:rFonts w:ascii="Calibri" w:hAnsi="Calibri" w:eastAsia="Microsoft YaHei"/>
          <w:b w:val="0"/>
          <w:color w:val="1F2937"/>
          <w:sz w:val="22"/>
        </w:rPr>
        <w:t>：实体、日期、金额、引用和格式；</w:t>
      </w:r>
    </w:p>
    <w:p>
      <w:pPr>
        <w:pStyle w:val="ListNumber"/>
        <w:numPr>
          <w:ilvl w:val="0"/>
          <w:numId w:val="19"/>
        </w:numPr>
        <w:keepLines/>
      </w:pPr>
      <w:r>
        <w:rPr>
          <w:rFonts w:ascii="Calibri" w:hAnsi="Calibri" w:eastAsia="Microsoft YaHei"/>
          <w:b/>
          <w:color w:val="1F2937"/>
          <w:sz w:val="22"/>
        </w:rPr>
        <w:t>端到端案件评测</w:t>
      </w:r>
      <w:r>
        <w:rPr>
          <w:rFonts w:ascii="Calibri" w:hAnsi="Calibri" w:eastAsia="Microsoft YaHei"/>
          <w:b w:val="0"/>
          <w:color w:val="1F2937"/>
          <w:sz w:val="22"/>
        </w:rPr>
        <w:t>：从原件到工作包；</w:t>
      </w:r>
    </w:p>
    <w:p>
      <w:pPr>
        <w:pStyle w:val="ListNumber"/>
        <w:numPr>
          <w:ilvl w:val="0"/>
          <w:numId w:val="19"/>
        </w:numPr>
        <w:keepLines/>
      </w:pPr>
      <w:r>
        <w:rPr>
          <w:rFonts w:ascii="Calibri" w:hAnsi="Calibri" w:eastAsia="Microsoft YaHei"/>
          <w:b/>
          <w:color w:val="1F2937"/>
          <w:sz w:val="22"/>
        </w:rPr>
        <w:t>盲评 A/B</w:t>
      </w:r>
      <w:r>
        <w:rPr>
          <w:rFonts w:ascii="Calibri" w:hAnsi="Calibri" w:eastAsia="Microsoft YaHei"/>
          <w:b w:val="0"/>
          <w:color w:val="1F2937"/>
          <w:sz w:val="22"/>
        </w:rPr>
        <w:t>：律师不知道哪个版本或是否使用 AI；</w:t>
      </w:r>
    </w:p>
    <w:p>
      <w:pPr>
        <w:pStyle w:val="ListNumber"/>
        <w:numPr>
          <w:ilvl w:val="0"/>
          <w:numId w:val="19"/>
        </w:numPr>
        <w:keepLines/>
      </w:pPr>
      <w:r>
        <w:rPr>
          <w:rFonts w:ascii="Calibri" w:hAnsi="Calibri" w:eastAsia="Microsoft YaHei"/>
          <w:b/>
          <w:color w:val="1F2937"/>
          <w:sz w:val="22"/>
        </w:rPr>
        <w:t>对抗评测</w:t>
      </w:r>
      <w:r>
        <w:rPr>
          <w:rFonts w:ascii="Calibri" w:hAnsi="Calibri" w:eastAsia="Microsoft YaHei"/>
          <w:b w:val="0"/>
          <w:color w:val="1F2937"/>
          <w:sz w:val="22"/>
        </w:rPr>
        <w:t>：提示注入、恶意附件、越权、跨案件和数据外泄；</w:t>
      </w:r>
    </w:p>
    <w:p>
      <w:pPr>
        <w:pStyle w:val="ListNumber"/>
        <w:numPr>
          <w:ilvl w:val="0"/>
          <w:numId w:val="19"/>
        </w:numPr>
        <w:keepLines/>
      </w:pPr>
      <w:r>
        <w:rPr>
          <w:rFonts w:ascii="Calibri" w:hAnsi="Calibri" w:eastAsia="Microsoft YaHei"/>
          <w:b/>
          <w:color w:val="1F2937"/>
          <w:sz w:val="22"/>
        </w:rPr>
        <w:t>回归评测</w:t>
      </w:r>
      <w:r>
        <w:rPr>
          <w:rFonts w:ascii="Calibri" w:hAnsi="Calibri" w:eastAsia="Microsoft YaHei"/>
          <w:b w:val="0"/>
          <w:color w:val="1F2937"/>
          <w:sz w:val="22"/>
        </w:rPr>
        <w:t>：高严重度样本不得倒退；</w:t>
      </w:r>
    </w:p>
    <w:p>
      <w:pPr>
        <w:pStyle w:val="ListNumber"/>
        <w:numPr>
          <w:ilvl w:val="0"/>
          <w:numId w:val="19"/>
        </w:numPr>
        <w:keepLines/>
      </w:pPr>
      <w:r>
        <w:rPr>
          <w:rFonts w:ascii="Calibri" w:hAnsi="Calibri" w:eastAsia="Microsoft YaHei"/>
          <w:b/>
          <w:color w:val="1F2937"/>
          <w:sz w:val="22"/>
        </w:rPr>
        <w:t>成本/时延评测</w:t>
      </w:r>
      <w:r>
        <w:rPr>
          <w:rFonts w:ascii="Calibri" w:hAnsi="Calibri" w:eastAsia="Microsoft YaHei"/>
          <w:b w:val="0"/>
          <w:color w:val="1F2937"/>
          <w:sz w:val="22"/>
        </w:rPr>
        <w:t>：模型切换不能让净效率变差；</w:t>
      </w:r>
    </w:p>
    <w:p>
      <w:pPr>
        <w:pStyle w:val="ListNumber"/>
        <w:numPr>
          <w:ilvl w:val="0"/>
          <w:numId w:val="19"/>
        </w:numPr>
        <w:keepLines/>
      </w:pPr>
      <w:r>
        <w:rPr>
          <w:rFonts w:ascii="Calibri" w:hAnsi="Calibri" w:eastAsia="Microsoft YaHei"/>
          <w:b/>
          <w:color w:val="1F2937"/>
          <w:sz w:val="22"/>
        </w:rPr>
        <w:t>影子运行</w:t>
      </w:r>
      <w:r>
        <w:rPr>
          <w:rFonts w:ascii="Calibri" w:hAnsi="Calibri" w:eastAsia="Microsoft YaHei"/>
          <w:b w:val="0"/>
          <w:color w:val="1F2937"/>
          <w:sz w:val="22"/>
        </w:rPr>
        <w:t>：高风险升级先在不影响用户结果的流量上观察；</w:t>
      </w:r>
    </w:p>
    <w:p>
      <w:pPr>
        <w:pStyle w:val="ListNumber"/>
        <w:numPr>
          <w:ilvl w:val="0"/>
          <w:numId w:val="19"/>
        </w:numPr>
        <w:keepLines/>
      </w:pPr>
      <w:r>
        <w:rPr>
          <w:rFonts w:ascii="Calibri" w:hAnsi="Calibri" w:eastAsia="Microsoft YaHei"/>
          <w:b/>
          <w:color w:val="1F2937"/>
          <w:sz w:val="22"/>
        </w:rPr>
        <w:t>小流量发布和自动回滚</w:t>
      </w:r>
      <w:r>
        <w:rPr>
          <w:rFonts w:ascii="Calibri" w:hAnsi="Calibri" w:eastAsia="Microsoft YaHei"/>
          <w:b w:val="0"/>
          <w:color w:val="1F2937"/>
          <w:sz w:val="22"/>
        </w:rPr>
        <w:t>：触发质量、安全或成本阈值即回滚。</w:t>
      </w:r>
    </w:p>
    <w:p>
      <w:pPr>
        <w:pStyle w:val="Heading2"/>
        <w:keepNext/>
        <w:keepLines/>
      </w:pPr>
      <w:r>
        <w:rPr>
          <w:rFonts w:ascii="Calibri" w:hAnsi="Calibri" w:eastAsia="Microsoft YaHei"/>
          <w:b/>
          <w:color w:val="1F4E79"/>
          <w:sz w:val="26"/>
        </w:rPr>
        <w:t>8.4 法律结论的可验证结构</w:t>
      </w:r>
    </w:p>
    <w:p>
      <w:r>
        <w:rPr>
          <w:rFonts w:ascii="Calibri" w:hAnsi="Calibri" w:eastAsia="Microsoft YaHei"/>
          <w:b w:val="0"/>
          <w:color w:val="1F2937"/>
          <w:sz w:val="22"/>
        </w:rPr>
        <w:t>每个重要结论保存为 Claim 对象：</w:t>
      </w:r>
    </w:p>
    <w:p>
      <w:pPr>
        <w:spacing w:before="80" w:after="160" w:line="240" w:lineRule="auto"/>
        <w:ind w:left="259" w:right="259"/>
        <w:jc w:val="left"/>
        <w:shd w:fill="F7F8FA"/>
        <w:pBdr>
          <w:left w:val="single" w:sz="20" w:color="3B82A0"/>
        </w:pBdr>
      </w:pPr>
      <w:r>
        <w:rPr>
          <w:rFonts w:ascii="Consolas" w:hAnsi="Consolas" w:eastAsia="Consolas"/>
          <w:b/>
          <w:color w:val="3B82A0"/>
          <w:sz w:val="15"/>
        </w:rPr>
        <w:t>TEXT</w:t>
        <w:br/>
      </w:r>
      <w:r>
        <w:rPr>
          <w:rFonts w:ascii="Consolas" w:hAnsi="Consolas" w:eastAsia="Consolas"/>
          <w:color w:val="1F2937"/>
          <w:sz w:val="16"/>
        </w:rPr>
        <w:t>Claim = 命题 + 类型（事实/法律/推论/律师观点）</w:t>
        <w:br/>
        <w:t xml:space="preserve">      + 支持来源列表 + 反对来源列表</w:t>
        <w:br/>
        <w:t xml:space="preserve">      + 法律时点 + 适用地域 + 置信/争议状态</w:t>
        <w:br/>
        <w:t xml:space="preserve">      + 生成模型/提示/检索版本</w:t>
        <w:br/>
        <w:t xml:space="preserve">      + 人工审阅状态 + 被引用的工作成果位置</w:t>
      </w:r>
    </w:p>
    <w:p>
      <w:r>
        <w:rPr>
          <w:rFonts w:ascii="Calibri" w:hAnsi="Calibri" w:eastAsia="Microsoft YaHei"/>
          <w:b w:val="0"/>
          <w:color w:val="1F2937"/>
          <w:sz w:val="22"/>
        </w:rPr>
        <w:t>发布前验证器执行：</w:t>
      </w:r>
    </w:p>
    <w:p>
      <w:pPr>
        <w:pStyle w:val="ListBullet"/>
        <w:keepLines/>
      </w:pPr>
      <w:r>
        <w:rPr>
          <w:rFonts w:ascii="Calibri" w:hAnsi="Calibri" w:eastAsia="Microsoft YaHei"/>
          <w:b w:val="0"/>
          <w:color w:val="1F2937"/>
          <w:sz w:val="22"/>
        </w:rPr>
        <w:t>来源是否存在且用户有权限；</w:t>
      </w:r>
    </w:p>
    <w:p>
      <w:pPr>
        <w:pStyle w:val="ListBullet"/>
        <w:keepLines/>
      </w:pPr>
      <w:r>
        <w:rPr>
          <w:rFonts w:ascii="Calibri" w:hAnsi="Calibri" w:eastAsia="Microsoft YaHei"/>
          <w:b w:val="0"/>
          <w:color w:val="1F2937"/>
          <w:sz w:val="22"/>
        </w:rPr>
        <w:t>页码和摘录哈希是否仍一致；</w:t>
      </w:r>
    </w:p>
    <w:p>
      <w:pPr>
        <w:pStyle w:val="ListBullet"/>
        <w:keepLines/>
      </w:pPr>
      <w:r>
        <w:rPr>
          <w:rFonts w:ascii="Calibri" w:hAnsi="Calibri" w:eastAsia="Microsoft YaHei"/>
          <w:b w:val="0"/>
          <w:color w:val="1F2937"/>
          <w:sz w:val="22"/>
        </w:rPr>
        <w:t>引文是否真正支持命题，而非仅主题相同；</w:t>
      </w:r>
    </w:p>
    <w:p>
      <w:pPr>
        <w:pStyle w:val="ListBullet"/>
        <w:keepLines/>
      </w:pPr>
      <w:r>
        <w:rPr>
          <w:rFonts w:ascii="Calibri" w:hAnsi="Calibri" w:eastAsia="Microsoft YaHei"/>
          <w:b w:val="0"/>
          <w:color w:val="1F2937"/>
          <w:sz w:val="22"/>
        </w:rPr>
        <w:t>法条/解释在目标时点是否有效；</w:t>
      </w:r>
    </w:p>
    <w:p>
      <w:pPr>
        <w:pStyle w:val="ListBullet"/>
        <w:keepLines/>
      </w:pPr>
      <w:r>
        <w:rPr>
          <w:rFonts w:ascii="Calibri" w:hAnsi="Calibri" w:eastAsia="Microsoft YaHei"/>
          <w:b w:val="0"/>
          <w:color w:val="1F2937"/>
          <w:sz w:val="22"/>
        </w:rPr>
        <w:t>案例层级和参考性质是否表述准确；</w:t>
      </w:r>
    </w:p>
    <w:p>
      <w:pPr>
        <w:pStyle w:val="ListBullet"/>
        <w:keepLines/>
      </w:pPr>
      <w:r>
        <w:rPr>
          <w:rFonts w:ascii="Calibri" w:hAnsi="Calibri" w:eastAsia="Microsoft YaHei"/>
          <w:b w:val="0"/>
          <w:color w:val="1F2937"/>
          <w:sz w:val="22"/>
        </w:rPr>
        <w:t>是否存在系统已检出的反向权威未披露；</w:t>
      </w:r>
    </w:p>
    <w:p>
      <w:pPr>
        <w:pStyle w:val="ListBullet"/>
        <w:keepLines/>
      </w:pPr>
      <w:r>
        <w:rPr>
          <w:rFonts w:ascii="Calibri" w:hAnsi="Calibri" w:eastAsia="Microsoft YaHei"/>
          <w:b w:val="0"/>
          <w:color w:val="1F2937"/>
          <w:sz w:val="22"/>
        </w:rPr>
        <w:t>金额和期限是否由确定性计算器重算；</w:t>
      </w:r>
    </w:p>
    <w:p>
      <w:pPr>
        <w:pStyle w:val="ListBullet"/>
        <w:keepLines/>
      </w:pPr>
      <w:r>
        <w:rPr>
          <w:rFonts w:ascii="Calibri" w:hAnsi="Calibri" w:eastAsia="Microsoft YaHei"/>
          <w:b w:val="0"/>
          <w:color w:val="1F2937"/>
          <w:sz w:val="22"/>
        </w:rPr>
        <w:t>结论是否超出律师确认的诉求和事实范围。</w:t>
      </w:r>
    </w:p>
    <w:p>
      <w:pPr>
        <w:pStyle w:val="Heading2"/>
        <w:keepNext/>
        <w:keepLines/>
      </w:pPr>
      <w:r>
        <w:rPr>
          <w:rFonts w:ascii="Calibri" w:hAnsi="Calibri" w:eastAsia="Microsoft YaHei"/>
          <w:b/>
          <w:color w:val="1F4E79"/>
          <w:sz w:val="26"/>
        </w:rPr>
        <w:t>8.5 人工审阅的设计目标</w:t>
      </w:r>
    </w:p>
    <w:p>
      <w:r>
        <w:rPr>
          <w:rFonts w:ascii="Calibri" w:hAnsi="Calibri" w:eastAsia="Microsoft YaHei"/>
          <w:b w:val="0"/>
          <w:color w:val="1F2937"/>
          <w:sz w:val="22"/>
        </w:rPr>
        <w:t>“Human in the loop”不是免责声明，而是具体交互：</w:t>
      </w:r>
    </w:p>
    <w:p>
      <w:pPr>
        <w:pStyle w:val="ListBullet"/>
        <w:keepLines/>
      </w:pPr>
      <w:r>
        <w:rPr>
          <w:rFonts w:ascii="Calibri" w:hAnsi="Calibri" w:eastAsia="Microsoft YaHei"/>
          <w:b w:val="0"/>
          <w:color w:val="1F2937"/>
          <w:sz w:val="22"/>
        </w:rPr>
        <w:t>只把高风险、低置信和冲突项优先送审；</w:t>
      </w:r>
    </w:p>
    <w:p>
      <w:pPr>
        <w:pStyle w:val="ListBullet"/>
        <w:keepLines/>
      </w:pPr>
      <w:r>
        <w:rPr>
          <w:rFonts w:ascii="Calibri" w:hAnsi="Calibri" w:eastAsia="Microsoft YaHei"/>
          <w:b w:val="0"/>
          <w:color w:val="1F2937"/>
          <w:sz w:val="22"/>
        </w:rPr>
        <w:t>每条建议旁显示来源，不让律师来回搜索；</w:t>
      </w:r>
    </w:p>
    <w:p>
      <w:pPr>
        <w:pStyle w:val="ListBullet"/>
        <w:keepLines/>
      </w:pPr>
      <w:r>
        <w:rPr>
          <w:rFonts w:ascii="Calibri" w:hAnsi="Calibri" w:eastAsia="Microsoft YaHei"/>
          <w:b w:val="0"/>
          <w:color w:val="1F2937"/>
          <w:sz w:val="22"/>
        </w:rPr>
        <w:t>批准、修改、驳回均可用快捷操作，但高风险项要求理由；</w:t>
      </w:r>
    </w:p>
    <w:p>
      <w:pPr>
        <w:pStyle w:val="ListBullet"/>
        <w:keepLines/>
      </w:pPr>
      <w:r>
        <w:rPr>
          <w:rFonts w:ascii="Calibri" w:hAnsi="Calibri" w:eastAsia="Microsoft YaHei"/>
          <w:b w:val="0"/>
          <w:color w:val="1F2937"/>
          <w:sz w:val="22"/>
        </w:rPr>
        <w:t>支持逐条审阅和全局一致性检查；</w:t>
      </w:r>
    </w:p>
    <w:p>
      <w:pPr>
        <w:pStyle w:val="ListBullet"/>
        <w:keepLines/>
      </w:pPr>
      <w:r>
        <w:rPr>
          <w:rFonts w:ascii="Calibri" w:hAnsi="Calibri" w:eastAsia="Microsoft YaHei"/>
          <w:b w:val="0"/>
          <w:color w:val="1F2937"/>
          <w:sz w:val="22"/>
        </w:rPr>
        <w:t>模型不得在用户修改后偷偷重写已批准段落；</w:t>
      </w:r>
    </w:p>
    <w:p>
      <w:pPr>
        <w:pStyle w:val="ListBullet"/>
        <w:keepLines/>
      </w:pPr>
      <w:r>
        <w:rPr>
          <w:rFonts w:ascii="Calibri" w:hAnsi="Calibri" w:eastAsia="Microsoft YaHei"/>
          <w:b w:val="0"/>
          <w:color w:val="1F2937"/>
          <w:sz w:val="22"/>
        </w:rPr>
        <w:t>外发前显示自上次批准后发生的所有变化；</w:t>
      </w:r>
    </w:p>
    <w:p>
      <w:pPr>
        <w:pStyle w:val="ListBullet"/>
        <w:keepLines/>
      </w:pPr>
      <w:r>
        <w:rPr>
          <w:rFonts w:ascii="Calibri" w:hAnsi="Calibri" w:eastAsia="Microsoft YaHei"/>
          <w:b w:val="0"/>
          <w:color w:val="1F2937"/>
          <w:sz w:val="22"/>
        </w:rPr>
        <w:t>记录净审阅时间，用于判断 AI 是否真正提效。</w:t>
      </w:r>
    </w:p>
    <w:p>
      <w:pPr>
        <w:pStyle w:val="Heading2"/>
        <w:keepNext/>
        <w:keepLines/>
      </w:pPr>
      <w:r>
        <w:rPr>
          <w:rFonts w:ascii="Calibri" w:hAnsi="Calibri" w:eastAsia="Microsoft YaHei"/>
          <w:b/>
          <w:color w:val="1F4E79"/>
          <w:sz w:val="26"/>
        </w:rPr>
        <w:t>8.6 治理组织</w:t>
      </w:r>
    </w:p>
    <w:p>
      <w:r>
        <w:rPr>
          <w:rFonts w:ascii="Calibri" w:hAnsi="Calibri" w:eastAsia="Microsoft YaHei"/>
          <w:b w:val="0"/>
          <w:color w:val="1F2937"/>
          <w:sz w:val="22"/>
        </w:rPr>
        <w:t>建立三个常设机制：</w:t>
      </w:r>
    </w:p>
    <w:p>
      <w:pPr>
        <w:pStyle w:val="ListNumber"/>
        <w:numPr>
          <w:ilvl w:val="0"/>
          <w:numId w:val="20"/>
        </w:numPr>
        <w:keepLines/>
      </w:pPr>
      <w:r>
        <w:rPr>
          <w:rFonts w:ascii="Calibri" w:hAnsi="Calibri" w:eastAsia="Microsoft YaHei"/>
          <w:b/>
          <w:color w:val="1F2937"/>
          <w:sz w:val="22"/>
        </w:rPr>
        <w:t>法律质量委员会</w:t>
      </w:r>
      <w:r>
        <w:rPr>
          <w:rFonts w:ascii="Calibri" w:hAnsi="Calibri" w:eastAsia="Microsoft YaHei"/>
          <w:b w:val="0"/>
          <w:color w:val="1F2937"/>
          <w:sz w:val="22"/>
        </w:rPr>
        <w:t>：法律负责人、案由专家、产品和评测负责人；批准 playbook、法源和质量门槛。</w:t>
      </w:r>
    </w:p>
    <w:p>
      <w:pPr>
        <w:pStyle w:val="ListNumber"/>
        <w:numPr>
          <w:ilvl w:val="0"/>
          <w:numId w:val="20"/>
        </w:numPr>
        <w:keepLines/>
      </w:pPr>
      <w:r>
        <w:rPr>
          <w:rFonts w:ascii="Calibri" w:hAnsi="Calibri" w:eastAsia="Microsoft YaHei"/>
          <w:b/>
          <w:color w:val="1F2937"/>
          <w:sz w:val="22"/>
        </w:rPr>
        <w:t>模型风险与安全委员会</w:t>
      </w:r>
      <w:r>
        <w:rPr>
          <w:rFonts w:ascii="Calibri" w:hAnsi="Calibri" w:eastAsia="Microsoft YaHei"/>
          <w:b w:val="0"/>
          <w:color w:val="1F2937"/>
          <w:sz w:val="22"/>
        </w:rPr>
        <w:t>：CTO/CISO、隐私、模型、SRE；批准模型供应商、数据级别和重大升级。</w:t>
      </w:r>
    </w:p>
    <w:p>
      <w:pPr>
        <w:pStyle w:val="ListNumber"/>
        <w:numPr>
          <w:ilvl w:val="0"/>
          <w:numId w:val="20"/>
        </w:numPr>
        <w:keepLines/>
      </w:pPr>
      <w:r>
        <w:rPr>
          <w:rFonts w:ascii="Calibri" w:hAnsi="Calibri" w:eastAsia="Microsoft YaHei"/>
          <w:b/>
          <w:color w:val="1F2937"/>
          <w:sz w:val="22"/>
        </w:rPr>
        <w:t>客户共同治理组</w:t>
      </w:r>
      <w:r>
        <w:rPr>
          <w:rFonts w:ascii="Calibri" w:hAnsi="Calibri" w:eastAsia="Microsoft YaHei"/>
          <w:b w:val="0"/>
          <w:color w:val="1F2937"/>
          <w:sz w:val="22"/>
        </w:rPr>
        <w:t>：试点律所合伙人、承办律师和 IT/合规；每月复盘错误、工时和产品边界。</w:t>
      </w:r>
    </w:p>
    <w:p>
      <w:r>
        <w:rPr>
          <w:rFonts w:ascii="Calibri" w:hAnsi="Calibri" w:eastAsia="Microsoft YaHei"/>
          <w:b w:val="0"/>
          <w:color w:val="1F2937"/>
          <w:sz w:val="22"/>
        </w:rPr>
        <w:t>最高人民法院关于司法 AI 的意见强调安全合法、辅助定位、用户自主决策，以及可解释、可测试、可验证和可追溯。这虽直接面向司法应用，但可作为法律 AI 产品治理的高标准参照。</w:t>
      </w:r>
      <w:hyperlink r:id="rId44">
        <w:r>
          <w:rPr>
            <w:rFonts w:ascii="Calibri" w:hAnsi="Calibri" w:eastAsia="Microsoft YaHei"/>
            <w:color w:val="1F4E79"/>
            <w:u w:val="single"/>
          </w:rPr>
          <w:t>最高人民法院关于规范和加强人工智能司法应用的意见</w:t>
        </w:r>
      </w:hyperlink>
    </w:p>
    <w:p>
      <w:pPr>
        <w:pStyle w:val="Heading1"/>
        <w:keepNext/>
        <w:keepLines/>
      </w:pPr>
      <w:r>
        <w:rPr>
          <w:rFonts w:ascii="Calibri" w:hAnsi="Calibri" w:eastAsia="Microsoft YaHei"/>
          <w:b/>
          <w:color w:val="1F4E79"/>
          <w:sz w:val="32"/>
        </w:rPr>
        <w:t>九、商业模式与市场进入</w:t>
      </w:r>
    </w:p>
    <w:p>
      <w:pPr>
        <w:pStyle w:val="Heading2"/>
        <w:keepNext/>
        <w:keepLines/>
      </w:pPr>
      <w:r>
        <w:rPr>
          <w:rFonts w:ascii="Calibri" w:hAnsi="Calibri" w:eastAsia="Microsoft YaHei"/>
          <w:b/>
          <w:color w:val="1F4E79"/>
          <w:sz w:val="26"/>
        </w:rPr>
        <w:t>9.1 客户、买方、用户与反对者</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45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角色</w:t>
            </w:r>
          </w:p>
        </w:tc>
        <w:tc>
          <w:tcPr>
            <w:tcW w:type="dxa" w:w="242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关心什么</w:t>
            </w:r>
          </w:p>
        </w:tc>
        <w:tc>
          <w:tcPr>
            <w:tcW w:type="dxa" w:w="306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成交证据</w:t>
            </w:r>
          </w:p>
        </w:tc>
        <w:tc>
          <w:tcPr>
            <w:tcW w:type="dxa" w:w="242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常见反对</w:t>
            </w:r>
          </w:p>
        </w:tc>
      </w:tr>
      <w:tr>
        <w:trPr>
          <w:cantSplit/>
        </w:trPr>
        <w:tc>
          <w:tcPr>
            <w:tcW w:type="dxa" w:w="145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主任/管理合伙人</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差异化、利润、风险、人才</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可量化净工时、客户续费、品牌安全</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“会不会降低收费/替代律师”</w:t>
            </w:r>
          </w:p>
        </w:tc>
      </w:tr>
      <w:tr>
        <w:trPr>
          <w:cantSplit/>
        </w:trPr>
        <w:tc>
          <w:tcPr>
            <w:tcW w:type="dxa" w:w="145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争议解决合伙人</w:t>
            </w:r>
          </w:p>
        </w:tc>
        <w:tc>
          <w:tcPr>
            <w:tcW w:type="dxa" w:w="24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案件质量、复核速度、团队一致性</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真实案件工作包和漏项发现</w:t>
            </w:r>
          </w:p>
        </w:tc>
        <w:tc>
          <w:tcPr>
            <w:tcW w:type="dxa" w:w="24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“AI 不懂案情”</w:t>
            </w:r>
          </w:p>
        </w:tc>
      </w:tr>
      <w:tr>
        <w:trPr>
          <w:cantSplit/>
        </w:trPr>
        <w:tc>
          <w:tcPr>
            <w:tcW w:type="dxa" w:w="145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承办律师/助理</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是否省事、是否好改、是否被监控</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首份时间线用时、修改体验</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“上传和纠错更麻烦”</w:t>
            </w:r>
          </w:p>
        </w:tc>
      </w:tr>
      <w:tr>
        <w:trPr>
          <w:cantSplit/>
        </w:trPr>
        <w:tc>
          <w:tcPr>
            <w:tcW w:type="dxa" w:w="145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CIO/IT</w:t>
            </w:r>
          </w:p>
        </w:tc>
        <w:tc>
          <w:tcPr>
            <w:tcW w:type="dxa" w:w="24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身份、集成、运维、部署</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架构、安全测试、SLA、API</w:t>
            </w:r>
          </w:p>
        </w:tc>
        <w:tc>
          <w:tcPr>
            <w:tcW w:type="dxa" w:w="24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“又一个数据孤岛”</w:t>
            </w:r>
          </w:p>
        </w:tc>
      </w:tr>
      <w:tr>
        <w:trPr>
          <w:cantSplit/>
        </w:trPr>
        <w:tc>
          <w:tcPr>
            <w:tcW w:type="dxa" w:w="145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安全/合规</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数据流、供应商、审计、事件</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DPA、PIPIA、等保路线、渗透报告</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“案件不能上云”</w:t>
            </w:r>
          </w:p>
        </w:tc>
      </w:tr>
      <w:tr>
        <w:trPr>
          <w:cantSplit/>
        </w:trPr>
        <w:tc>
          <w:tcPr>
            <w:tcW w:type="dxa" w:w="145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财务/采购</w:t>
            </w:r>
          </w:p>
        </w:tc>
        <w:tc>
          <w:tcPr>
            <w:tcW w:type="dxa" w:w="24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合同额、成本可预测、供应商稳定</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清晰计价、预算上限、退出迁移</w:t>
            </w:r>
          </w:p>
        </w:tc>
        <w:tc>
          <w:tcPr>
            <w:tcW w:type="dxa" w:w="242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“Token 成本不可控”</w:t>
            </w:r>
          </w:p>
        </w:tc>
      </w:tr>
      <w:tr>
        <w:trPr>
          <w:cantSplit/>
        </w:trPr>
        <w:tc>
          <w:tcPr>
            <w:tcW w:type="dxa" w:w="145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律所客户/企业法务</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质量、保密、响应速度、费用</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律师负责、透明流程、交付更快</w:t>
            </w:r>
          </w:p>
        </w:tc>
        <w:tc>
          <w:tcPr>
            <w:tcW w:type="dxa" w:w="242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“是否把材料交给第三方 AI”</w:t>
            </w:r>
          </w:p>
        </w:tc>
      </w:tr>
    </w:tbl>
    <w:p>
      <w:pPr>
        <w:spacing w:after="0"/>
      </w:pPr>
    </w:p>
    <w:p>
      <w:r>
        <w:rPr>
          <w:rFonts w:ascii="Calibri" w:hAnsi="Calibri" w:eastAsia="Microsoft YaHei"/>
          <w:b w:val="0"/>
          <w:color w:val="1F2937"/>
          <w:sz w:val="22"/>
        </w:rPr>
        <w:t>销售必须同时赢得业务合伙人与安全/IT；只靠年轻律师自下而上使用，容易形成未经批准的“影子 AI”，却难形成机构合同。</w:t>
      </w:r>
    </w:p>
    <w:p>
      <w:pPr>
        <w:pStyle w:val="Heading2"/>
        <w:keepNext/>
        <w:keepLines/>
      </w:pPr>
      <w:r>
        <w:rPr>
          <w:rFonts w:ascii="Calibri" w:hAnsi="Calibri" w:eastAsia="Microsoft YaHei"/>
          <w:b/>
          <w:color w:val="1F4E79"/>
          <w:sz w:val="26"/>
        </w:rPr>
        <w:t>9.2 价值主张与信息架构</w:t>
      </w:r>
    </w:p>
    <w:p>
      <w:r>
        <w:rPr>
          <w:rFonts w:ascii="Calibri" w:hAnsi="Calibri" w:eastAsia="Microsoft YaHei"/>
          <w:b w:val="0"/>
          <w:color w:val="1F2937"/>
          <w:sz w:val="22"/>
        </w:rPr>
        <w:t>推荐主信息：</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少翻材料，早看争点；每条结论，都能回到原件。</w:t>
            </w:r>
          </w:p>
        </w:tc>
      </w:tr>
    </w:tbl>
    <w:p>
      <w:pPr>
        <w:spacing w:after="0"/>
      </w:pPr>
    </w:p>
    <w:p>
      <w:r>
        <w:rPr>
          <w:rFonts w:ascii="Calibri" w:hAnsi="Calibri" w:eastAsia="Microsoft YaHei"/>
          <w:b w:val="0"/>
          <w:color w:val="1F2937"/>
          <w:sz w:val="22"/>
        </w:rPr>
        <w:t>支撑信息：</w:t>
      </w:r>
    </w:p>
    <w:p>
      <w:pPr>
        <w:pStyle w:val="ListBullet"/>
        <w:keepLines/>
      </w:pPr>
      <w:r>
        <w:rPr>
          <w:rFonts w:ascii="Calibri" w:hAnsi="Calibri" w:eastAsia="Microsoft YaHei"/>
          <w:b w:val="0"/>
          <w:color w:val="1F2937"/>
          <w:sz w:val="22"/>
        </w:rPr>
        <w:t>案件原件、事实、证据、法源和文书在同一工作台；</w:t>
      </w:r>
    </w:p>
    <w:p>
      <w:pPr>
        <w:pStyle w:val="ListBullet"/>
        <w:keepLines/>
      </w:pPr>
      <w:r>
        <w:rPr>
          <w:rFonts w:ascii="Calibri" w:hAnsi="Calibri" w:eastAsia="Microsoft YaHei"/>
          <w:b w:val="0"/>
          <w:color w:val="1F2937"/>
          <w:sz w:val="22"/>
        </w:rPr>
        <w:t>AI 只产生候选，关键节点由律师确认；</w:t>
      </w:r>
    </w:p>
    <w:p>
      <w:pPr>
        <w:pStyle w:val="ListBullet"/>
        <w:keepLines/>
      </w:pPr>
      <w:r>
        <w:rPr>
          <w:rFonts w:ascii="Calibri" w:hAnsi="Calibri" w:eastAsia="Microsoft YaHei"/>
          <w:b w:val="0"/>
          <w:color w:val="1F2937"/>
          <w:sz w:val="22"/>
        </w:rPr>
        <w:t>中国境内部署与私有化可选；</w:t>
      </w:r>
    </w:p>
    <w:p>
      <w:pPr>
        <w:pStyle w:val="ListBullet"/>
        <w:keepLines/>
      </w:pPr>
      <w:r>
        <w:rPr>
          <w:rFonts w:ascii="Calibri" w:hAnsi="Calibri" w:eastAsia="Microsoft YaHei"/>
          <w:b w:val="0"/>
          <w:color w:val="1F2937"/>
          <w:sz w:val="22"/>
        </w:rPr>
        <w:t>每个引用有页码，每次修改有记录，每次外发有批准；</w:t>
      </w:r>
    </w:p>
    <w:p>
      <w:pPr>
        <w:pStyle w:val="ListBullet"/>
        <w:keepLines/>
      </w:pPr>
      <w:r>
        <w:rPr>
          <w:rFonts w:ascii="Calibri" w:hAnsi="Calibri" w:eastAsia="Microsoft YaHei"/>
          <w:b w:val="0"/>
          <w:color w:val="1F2937"/>
          <w:sz w:val="22"/>
        </w:rPr>
        <w:t>用净工时和漏项率证明价值。</w:t>
      </w:r>
    </w:p>
    <w:p>
      <w:r>
        <w:rPr>
          <w:rFonts w:ascii="Calibri" w:hAnsi="Calibri" w:eastAsia="Microsoft YaHei"/>
          <w:b w:val="0"/>
          <w:color w:val="1F2937"/>
          <w:sz w:val="22"/>
        </w:rPr>
        <w:t>避免信息：</w:t>
      </w:r>
    </w:p>
    <w:p>
      <w:pPr>
        <w:pStyle w:val="ListBullet"/>
        <w:keepLines/>
      </w:pPr>
      <w:r>
        <w:rPr>
          <w:rFonts w:ascii="Calibri" w:hAnsi="Calibri" w:eastAsia="Microsoft YaHei"/>
          <w:b w:val="0"/>
          <w:color w:val="1F2937"/>
          <w:sz w:val="22"/>
        </w:rPr>
        <w:t>“一键胜诉”“替代初级律师”“4 分钟办完案件”；</w:t>
      </w:r>
    </w:p>
    <w:p>
      <w:pPr>
        <w:pStyle w:val="ListBullet"/>
        <w:keepLines/>
      </w:pPr>
      <w:r>
        <w:rPr>
          <w:rFonts w:ascii="Calibri" w:hAnsi="Calibri" w:eastAsia="Microsoft YaHei"/>
          <w:b w:val="0"/>
          <w:color w:val="1F2937"/>
          <w:sz w:val="22"/>
        </w:rPr>
        <w:t>用未验证的百分比承诺效率；</w:t>
      </w:r>
    </w:p>
    <w:p>
      <w:pPr>
        <w:pStyle w:val="ListBullet"/>
        <w:keepLines/>
      </w:pPr>
      <w:r>
        <w:rPr>
          <w:rFonts w:ascii="Calibri" w:hAnsi="Calibri" w:eastAsia="Microsoft YaHei"/>
          <w:b w:val="0"/>
          <w:color w:val="1F2937"/>
          <w:sz w:val="22"/>
        </w:rPr>
        <w:t>把模型参数、智能体数量当成主要卖点；</w:t>
      </w:r>
    </w:p>
    <w:p>
      <w:pPr>
        <w:pStyle w:val="ListBullet"/>
        <w:keepLines/>
      </w:pPr>
      <w:r>
        <w:rPr>
          <w:rFonts w:ascii="Calibri" w:hAnsi="Calibri" w:eastAsia="Microsoft YaHei"/>
          <w:b w:val="0"/>
          <w:color w:val="1F2937"/>
          <w:sz w:val="22"/>
        </w:rPr>
        <w:t>暗示 AI 具有律师资格、独立判断或承担责任。</w:t>
      </w:r>
    </w:p>
    <w:p>
      <w:pPr>
        <w:pStyle w:val="Heading2"/>
        <w:keepNext/>
        <w:keepLines/>
      </w:pPr>
      <w:r>
        <w:rPr>
          <w:rFonts w:ascii="Calibri" w:hAnsi="Calibri" w:eastAsia="Microsoft YaHei"/>
          <w:b/>
          <w:color w:val="1F4E79"/>
          <w:sz w:val="26"/>
        </w:rPr>
        <w:t>9.3 产品与部署 SKU</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872"/>
        <w:gridCol w:w="1872"/>
        <w:gridCol w:w="1872"/>
        <w:gridCol w:w="1872"/>
        <w:gridCol w:w="1872"/>
      </w:tblGrid>
      <w:tr>
        <w:trPr>
          <w:cantSplit/>
          <w:tblHeader w:val="true"/>
        </w:trPr>
        <w:tc>
          <w:tcPr>
            <w:tcW w:type="dxa" w:w="220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SKU</w:t>
            </w:r>
          </w:p>
        </w:tc>
        <w:tc>
          <w:tcPr>
            <w:tcW w:type="dxa" w:w="126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适用客户</w:t>
            </w:r>
          </w:p>
        </w:tc>
        <w:tc>
          <w:tcPr>
            <w:tcW w:type="dxa" w:w="178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交付</w:t>
            </w:r>
          </w:p>
        </w:tc>
        <w:tc>
          <w:tcPr>
            <w:tcW w:type="dxa" w:w="252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计价假设</w:t>
            </w:r>
          </w:p>
        </w:tc>
        <w:tc>
          <w:tcPr>
            <w:tcW w:type="dxa" w:w="157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毛利/难点</w:t>
            </w:r>
          </w:p>
        </w:tc>
      </w:tr>
      <w:tr>
        <w:trPr>
          <w:cantSplit/>
        </w:trPr>
        <w:tc>
          <w:tcPr>
            <w:tcW w:type="dxa" w:w="22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Team SaaS</w:t>
            </w:r>
          </w:p>
        </w:tc>
        <w:tc>
          <w:tcPr>
            <w:tcW w:type="dxa" w:w="126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精品所/团队</w:t>
            </w:r>
          </w:p>
        </w:tc>
        <w:tc>
          <w:tcPr>
            <w:tcW w:type="dxa" w:w="178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多租户境内 SaaS，逻辑隔离</w:t>
            </w:r>
          </w:p>
        </w:tc>
        <w:tc>
          <w:tcPr>
            <w:tcW w:type="dxa" w:w="252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¥1,500—3,000/活跃用户/月 + 存储/高算力包；年最低 ¥10—30 万</w:t>
            </w:r>
          </w:p>
        </w:tc>
        <w:tc>
          <w:tcPr>
            <w:tcW w:type="dxa" w:w="157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易规模化，安全说明要求高</w:t>
            </w:r>
          </w:p>
        </w:tc>
      </w:tr>
      <w:tr>
        <w:trPr>
          <w:cantSplit/>
        </w:trPr>
        <w:tc>
          <w:tcPr>
            <w:tcW w:type="dxa" w:w="22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Dedicated Cloud</w:t>
            </w:r>
          </w:p>
        </w:tc>
        <w:tc>
          <w:tcPr>
            <w:tcW w:type="dxa" w:w="126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中大型律所/法务</w:t>
            </w:r>
          </w:p>
        </w:tc>
        <w:tc>
          <w:tcPr>
            <w:tcW w:type="dxa" w:w="178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客户专属数据平面、可选专属模型</w:t>
            </w:r>
          </w:p>
        </w:tc>
        <w:tc>
          <w:tcPr>
            <w:tcW w:type="dxa" w:w="252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年 ¥50—200 万 + 用量</w:t>
            </w:r>
          </w:p>
        </w:tc>
        <w:tc>
          <w:tcPr>
            <w:tcW w:type="dxa" w:w="157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客单价高，运维需标准化</w:t>
            </w:r>
          </w:p>
        </w:tc>
      </w:tr>
      <w:tr>
        <w:trPr>
          <w:cantSplit/>
        </w:trPr>
        <w:tc>
          <w:tcPr>
            <w:tcW w:type="dxa" w:w="22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Private/On-prem</w:t>
            </w:r>
          </w:p>
        </w:tc>
        <w:tc>
          <w:tcPr>
            <w:tcW w:type="dxa" w:w="126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高敏客户/政府/大型律所</w:t>
            </w:r>
          </w:p>
        </w:tc>
        <w:tc>
          <w:tcPr>
            <w:tcW w:type="dxa" w:w="178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客户环境，离线或受控联网</w:t>
            </w:r>
          </w:p>
        </w:tc>
        <w:tc>
          <w:tcPr>
            <w:tcW w:type="dxa" w:w="252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实施 ¥30—150 万；年许可/维护 ¥50—300 万</w:t>
            </w:r>
          </w:p>
        </w:tc>
        <w:tc>
          <w:tcPr>
            <w:tcW w:type="dxa" w:w="157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销售和交付重、毛利早期低</w:t>
            </w:r>
          </w:p>
        </w:tc>
      </w:tr>
      <w:tr>
        <w:trPr>
          <w:cantSplit/>
        </w:trPr>
        <w:tc>
          <w:tcPr>
            <w:tcW w:type="dxa" w:w="22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Legal Data/Verify API</w:t>
            </w:r>
          </w:p>
        </w:tc>
        <w:tc>
          <w:tcPr>
            <w:tcW w:type="dxa" w:w="126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已有系统客户/生态伙伴</w:t>
            </w:r>
          </w:p>
        </w:tc>
        <w:tc>
          <w:tcPr>
            <w:tcW w:type="dxa" w:w="178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引证、时效、事实锚点和验证 API</w:t>
            </w:r>
          </w:p>
        </w:tc>
        <w:tc>
          <w:tcPr>
            <w:tcW w:type="dxa" w:w="252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年框/调用量</w:t>
            </w:r>
          </w:p>
        </w:tc>
        <w:tc>
          <w:tcPr>
            <w:tcW w:type="dxa" w:w="157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需法源授权，后期开放</w:t>
            </w:r>
          </w:p>
        </w:tc>
      </w:tr>
      <w:tr>
        <w:trPr>
          <w:cantSplit/>
        </w:trPr>
        <w:tc>
          <w:tcPr>
            <w:tcW w:type="dxa" w:w="22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Pilot Package</w:t>
            </w:r>
          </w:p>
        </w:tc>
        <w:tc>
          <w:tcPr>
            <w:tcW w:type="dxa" w:w="126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共创客户</w:t>
            </w:r>
          </w:p>
        </w:tc>
        <w:tc>
          <w:tcPr>
            <w:tcW w:type="dxa" w:w="178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8—12 周、限定案件和成功指标</w:t>
            </w:r>
          </w:p>
        </w:tc>
        <w:tc>
          <w:tcPr>
            <w:tcW w:type="dxa" w:w="252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¥5—15 万，可抵扣首年</w:t>
            </w:r>
          </w:p>
        </w:tc>
        <w:tc>
          <w:tcPr>
            <w:tcW w:type="dxa" w:w="157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用于验证，不做永久免费 PoC</w:t>
            </w:r>
          </w:p>
        </w:tc>
      </w:tr>
    </w:tbl>
    <w:p>
      <w:pPr>
        <w:spacing w:after="0"/>
      </w:pPr>
    </w:p>
    <w:p>
      <w:r>
        <w:rPr>
          <w:rFonts w:ascii="Calibri" w:hAnsi="Calibri" w:eastAsia="Microsoft YaHei"/>
          <w:b w:val="0"/>
          <w:color w:val="1F2937"/>
          <w:sz w:val="22"/>
        </w:rPr>
        <w:t>以上区间是待验证的定价假设。访谈中应采用 Van Westendorp、预算替代和价值分成问题，而不是直接问“你愿意付多少钱”。</w:t>
      </w:r>
    </w:p>
    <w:p>
      <w:pPr>
        <w:pStyle w:val="Heading2"/>
        <w:keepNext/>
        <w:keepLines/>
      </w:pPr>
      <w:r>
        <w:rPr>
          <w:rFonts w:ascii="Calibri" w:hAnsi="Calibri" w:eastAsia="Microsoft YaHei"/>
          <w:b/>
          <w:color w:val="1F4E79"/>
          <w:sz w:val="26"/>
        </w:rPr>
        <w:t>9.4 为什么不按 Token 转售</w:t>
      </w:r>
    </w:p>
    <w:p>
      <w:r>
        <w:rPr>
          <w:rFonts w:ascii="Calibri" w:hAnsi="Calibri" w:eastAsia="Microsoft YaHei"/>
          <w:b w:val="0"/>
          <w:color w:val="1F2937"/>
          <w:sz w:val="22"/>
        </w:rPr>
        <w:t>模型 Token 是成本，不是客户价值单位。以 Token 为主计价会造成：</w:t>
      </w:r>
    </w:p>
    <w:p>
      <w:pPr>
        <w:pStyle w:val="ListBullet"/>
        <w:keepLines/>
      </w:pPr>
      <w:r>
        <w:rPr>
          <w:rFonts w:ascii="Calibri" w:hAnsi="Calibri" w:eastAsia="Microsoft YaHei"/>
          <w:b w:val="0"/>
          <w:color w:val="1F2937"/>
          <w:sz w:val="22"/>
        </w:rPr>
        <w:t>客户无法预测一个案件成本；</w:t>
      </w:r>
    </w:p>
    <w:p>
      <w:pPr>
        <w:pStyle w:val="ListBullet"/>
        <w:keepLines/>
      </w:pPr>
      <w:r>
        <w:rPr>
          <w:rFonts w:ascii="Calibri" w:hAnsi="Calibri" w:eastAsia="Microsoft YaHei"/>
          <w:b w:val="0"/>
          <w:color w:val="1F2937"/>
          <w:sz w:val="22"/>
        </w:rPr>
        <w:t>团队有意少用，降低采用；</w:t>
      </w:r>
    </w:p>
    <w:p>
      <w:pPr>
        <w:pStyle w:val="ListBullet"/>
        <w:keepLines/>
      </w:pPr>
      <w:r>
        <w:rPr>
          <w:rFonts w:ascii="Calibri" w:hAnsi="Calibri" w:eastAsia="Microsoft YaHei"/>
          <w:b w:val="0"/>
          <w:color w:val="1F2937"/>
          <w:sz w:val="22"/>
        </w:rPr>
        <w:t>模型价格下降会直接压低收入；</w:t>
      </w:r>
    </w:p>
    <w:p>
      <w:pPr>
        <w:pStyle w:val="ListBullet"/>
        <w:keepLines/>
      </w:pPr>
      <w:r>
        <w:rPr>
          <w:rFonts w:ascii="Calibri" w:hAnsi="Calibri" w:eastAsia="Microsoft YaHei"/>
          <w:b w:val="0"/>
          <w:color w:val="1F2937"/>
          <w:sz w:val="22"/>
        </w:rPr>
        <w:t>高质量验证可能调用更多模型，反而被惩罚；</w:t>
      </w:r>
    </w:p>
    <w:p>
      <w:pPr>
        <w:pStyle w:val="ListBullet"/>
        <w:keepLines/>
      </w:pPr>
      <w:r>
        <w:rPr>
          <w:rFonts w:ascii="Calibri" w:hAnsi="Calibri" w:eastAsia="Microsoft YaHei"/>
          <w:b w:val="0"/>
          <w:color w:val="1F2937"/>
          <w:sz w:val="22"/>
        </w:rPr>
        <w:t>律所难以把费用关联到案件和工作成果。</w:t>
      </w:r>
    </w:p>
    <w:p>
      <w:r>
        <w:rPr>
          <w:rFonts w:ascii="Calibri" w:hAnsi="Calibri" w:eastAsia="Microsoft YaHei"/>
          <w:b w:val="0"/>
          <w:color w:val="1F2937"/>
          <w:sz w:val="22"/>
        </w:rPr>
        <w:t>推荐“席位/团队基础费 + 案件容量或高算力包 + 部署/集成费”，后台仍按案件记录模型成本，支持预算封顶和异常告警。</w:t>
      </w:r>
    </w:p>
    <w:p>
      <w:pPr>
        <w:pStyle w:val="Heading2"/>
        <w:keepNext/>
        <w:keepLines/>
      </w:pPr>
      <w:r>
        <w:rPr>
          <w:rFonts w:ascii="Calibri" w:hAnsi="Calibri" w:eastAsia="Microsoft YaHei"/>
          <w:b/>
          <w:color w:val="1F4E79"/>
          <w:sz w:val="26"/>
        </w:rPr>
        <w:t>9.5 ROI 计算</w:t>
      </w:r>
    </w:p>
    <w:p>
      <w:r>
        <w:rPr>
          <w:rFonts w:ascii="Calibri" w:hAnsi="Calibri" w:eastAsia="Microsoft YaHei"/>
          <w:b w:val="0"/>
          <w:color w:val="1F2937"/>
          <w:sz w:val="22"/>
        </w:rPr>
        <w:t>试点只使用可审计的公式：</w:t>
      </w:r>
    </w:p>
    <w:p>
      <w:pPr>
        <w:spacing w:before="80" w:after="160" w:line="240" w:lineRule="auto"/>
        <w:ind w:left="259" w:right="259"/>
        <w:jc w:val="left"/>
        <w:shd w:fill="F7F8FA"/>
        <w:pBdr>
          <w:left w:val="single" w:sz="20" w:color="3B82A0"/>
        </w:pBdr>
      </w:pPr>
      <w:r>
        <w:rPr>
          <w:rFonts w:ascii="Consolas" w:hAnsi="Consolas" w:eastAsia="Consolas"/>
          <w:b/>
          <w:color w:val="3B82A0"/>
          <w:sz w:val="15"/>
        </w:rPr>
        <w:t>TEXT</w:t>
        <w:br/>
      </w:r>
      <w:r>
        <w:rPr>
          <w:rFonts w:ascii="Consolas" w:hAnsi="Consolas" w:eastAsia="Consolas"/>
          <w:color w:val="1F2937"/>
          <w:sz w:val="16"/>
        </w:rPr>
        <w:t>净节省工时 = 历史基线总工时</w:t>
        <w:br/>
        <w:t xml:space="preserve">           -（AI 工作流操作时间 + 人工核对时间 + 纠错返工时间）</w:t>
        <w:br/>
        <w:br/>
        <w:t>年度直接价值 = 净节省工时 × 律所采用的内部完全成本</w:t>
        <w:br/>
        <w:t xml:space="preserve">             + 因容量提升新增的贡献毛利</w:t>
        <w:br/>
        <w:t xml:space="preserve">             + 可量化的错误/逾期避免价值</w:t>
        <w:br/>
        <w:t xml:space="preserve">             - 软件、部署、数据和变革成本</w:t>
      </w:r>
    </w:p>
    <w:p>
      <w:r>
        <w:rPr>
          <w:rFonts w:ascii="Calibri" w:hAnsi="Calibri" w:eastAsia="Microsoft YaHei"/>
          <w:b w:val="0"/>
          <w:color w:val="1F2937"/>
          <w:sz w:val="22"/>
        </w:rPr>
        <w:t>不得把全部节省小时乘以对外小时费率后宣称 ROI，因为节省时间不一定全部转化为可计费收入。至少分别呈现“内部成本口径”“释放容量口径”和“新增收入口径”。</w:t>
      </w:r>
    </w:p>
    <w:p>
      <w:pPr>
        <w:pStyle w:val="Heading2"/>
        <w:keepNext/>
        <w:keepLines/>
      </w:pPr>
      <w:r>
        <w:rPr>
          <w:rFonts w:ascii="Calibri" w:hAnsi="Calibri" w:eastAsia="Microsoft YaHei"/>
          <w:b/>
          <w:color w:val="1F4E79"/>
          <w:sz w:val="26"/>
        </w:rPr>
        <w:t>9.6 共创试点方案</w:t>
      </w:r>
    </w:p>
    <w:p>
      <w:pPr>
        <w:pStyle w:val="Heading3"/>
        <w:keepNext/>
        <w:keepLines/>
      </w:pPr>
      <w:r>
        <w:rPr>
          <w:rFonts w:ascii="Calibri" w:hAnsi="Calibri" w:eastAsia="Microsoft YaHei"/>
          <w:b/>
          <w:color w:val="17365D"/>
          <w:sz w:val="24"/>
        </w:rPr>
        <w:t>试点客户选择</w:t>
      </w:r>
    </w:p>
    <w:p>
      <w:pPr>
        <w:pStyle w:val="ListBullet"/>
        <w:keepLines/>
      </w:pPr>
      <w:r>
        <w:rPr>
          <w:rFonts w:ascii="Calibri" w:hAnsi="Calibri" w:eastAsia="Microsoft YaHei"/>
          <w:b w:val="0"/>
          <w:color w:val="1F2937"/>
          <w:sz w:val="22"/>
        </w:rPr>
        <w:t>有明确的争议解决负责人和一线项目经理；</w:t>
      </w:r>
    </w:p>
    <w:p>
      <w:pPr>
        <w:pStyle w:val="ListBullet"/>
        <w:keepLines/>
      </w:pPr>
      <w:r>
        <w:rPr>
          <w:rFonts w:ascii="Calibri" w:hAnsi="Calibri" w:eastAsia="Microsoft YaHei"/>
          <w:b w:val="0"/>
          <w:color w:val="1F2937"/>
          <w:sz w:val="22"/>
        </w:rPr>
        <w:t>每年商业合同争议不少于 50 件，且材料量有代表性；</w:t>
      </w:r>
    </w:p>
    <w:p>
      <w:pPr>
        <w:pStyle w:val="ListBullet"/>
        <w:keepLines/>
      </w:pPr>
      <w:r>
        <w:rPr>
          <w:rFonts w:ascii="Calibri" w:hAnsi="Calibri" w:eastAsia="Microsoft YaHei"/>
          <w:b w:val="0"/>
          <w:color w:val="1F2937"/>
          <w:sz w:val="22"/>
        </w:rPr>
        <w:t>愿意提供 3—5 个经授权、可用于受控评测的历史或在办案件；</w:t>
      </w:r>
    </w:p>
    <w:p>
      <w:pPr>
        <w:pStyle w:val="ListBullet"/>
        <w:keepLines/>
      </w:pPr>
      <w:r>
        <w:rPr>
          <w:rFonts w:ascii="Calibri" w:hAnsi="Calibri" w:eastAsia="Microsoft YaHei"/>
          <w:b w:val="0"/>
          <w:color w:val="1F2937"/>
          <w:sz w:val="22"/>
        </w:rPr>
        <w:t>IT/安全可参加数据流评审；</w:t>
      </w:r>
    </w:p>
    <w:p>
      <w:pPr>
        <w:pStyle w:val="ListBullet"/>
        <w:keepLines/>
      </w:pPr>
      <w:r>
        <w:rPr>
          <w:rFonts w:ascii="Calibri" w:hAnsi="Calibri" w:eastAsia="Microsoft YaHei"/>
          <w:b w:val="0"/>
          <w:color w:val="1F2937"/>
          <w:sz w:val="22"/>
        </w:rPr>
        <w:t>同意记录任务工时、AI 使用和修改结果；</w:t>
      </w:r>
    </w:p>
    <w:p>
      <w:pPr>
        <w:pStyle w:val="ListBullet"/>
        <w:keepLines/>
      </w:pPr>
      <w:r>
        <w:rPr>
          <w:rFonts w:ascii="Calibri" w:hAnsi="Calibri" w:eastAsia="Microsoft YaHei"/>
          <w:b w:val="0"/>
          <w:color w:val="1F2937"/>
          <w:sz w:val="22"/>
        </w:rPr>
        <w:t>有潜在年度预算，而不是只希望免费定制。</w:t>
      </w:r>
    </w:p>
    <w:p>
      <w:pPr>
        <w:pStyle w:val="Heading3"/>
        <w:keepNext/>
        <w:keepLines/>
      </w:pPr>
      <w:r>
        <w:rPr>
          <w:rFonts w:ascii="Calibri" w:hAnsi="Calibri" w:eastAsia="Microsoft YaHei"/>
          <w:b/>
          <w:color w:val="17365D"/>
          <w:sz w:val="24"/>
        </w:rPr>
        <w:t>8—12 周试点结构</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216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周期</w:t>
            </w:r>
          </w:p>
        </w:tc>
        <w:tc>
          <w:tcPr>
            <w:tcW w:type="dxa" w:w="396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工作</w:t>
            </w:r>
          </w:p>
        </w:tc>
        <w:tc>
          <w:tcPr>
            <w:tcW w:type="dxa" w:w="324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验收</w:t>
            </w:r>
          </w:p>
        </w:tc>
      </w:tr>
      <w:tr>
        <w:trPr>
          <w:cantSplit/>
        </w:trPr>
        <w:tc>
          <w:tcPr>
            <w:tcW w:type="dxa" w:w="216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第 0—1 周</w:t>
            </w:r>
          </w:p>
        </w:tc>
        <w:tc>
          <w:tcPr>
            <w:tcW w:type="dxa" w:w="396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数据和合同评审、流程访谈、选择案件、建立基线</w:t>
            </w:r>
          </w:p>
        </w:tc>
        <w:tc>
          <w:tcPr>
            <w:tcW w:type="dxa" w:w="324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授权完成、数据清单、基线工时</w:t>
            </w:r>
          </w:p>
        </w:tc>
      </w:tr>
      <w:tr>
        <w:trPr>
          <w:cantSplit/>
        </w:trPr>
        <w:tc>
          <w:tcPr>
            <w:tcW w:type="dxa" w:w="216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第 2—3 周</w:t>
            </w:r>
          </w:p>
        </w:tc>
        <w:tc>
          <w:tcPr>
            <w:tcW w:type="dxa" w:w="396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安全导入、原件/OCR/时间线</w:t>
            </w:r>
          </w:p>
        </w:tc>
        <w:tc>
          <w:tcPr>
            <w:tcW w:type="dxa" w:w="324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页数与哈希一致；关键时间线抽检</w:t>
            </w:r>
          </w:p>
        </w:tc>
      </w:tr>
      <w:tr>
        <w:trPr>
          <w:cantSplit/>
        </w:trPr>
        <w:tc>
          <w:tcPr>
            <w:tcW w:type="dxa" w:w="216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第 4—5 周</w:t>
            </w:r>
          </w:p>
        </w:tc>
        <w:tc>
          <w:tcPr>
            <w:tcW w:type="dxa" w:w="396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实体、证据和要件矩阵</w:t>
            </w:r>
          </w:p>
        </w:tc>
        <w:tc>
          <w:tcPr>
            <w:tcW w:type="dxa" w:w="324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律师确认事实覆盖和缺口价值</w:t>
            </w:r>
          </w:p>
        </w:tc>
      </w:tr>
      <w:tr>
        <w:trPr>
          <w:cantSplit/>
        </w:trPr>
        <w:tc>
          <w:tcPr>
            <w:tcW w:type="dxa" w:w="216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第 6—7 周</w:t>
            </w:r>
          </w:p>
        </w:tc>
        <w:tc>
          <w:tcPr>
            <w:tcW w:type="dxa" w:w="396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法律研究和一份工作成果</w:t>
            </w:r>
          </w:p>
        </w:tc>
        <w:tc>
          <w:tcPr>
            <w:tcW w:type="dxa" w:w="324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引证零虚构、来源可达</w:t>
            </w:r>
          </w:p>
        </w:tc>
      </w:tr>
      <w:tr>
        <w:trPr>
          <w:cantSplit/>
        </w:trPr>
        <w:tc>
          <w:tcPr>
            <w:tcW w:type="dxa" w:w="216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第 8 周</w:t>
            </w:r>
          </w:p>
        </w:tc>
        <w:tc>
          <w:tcPr>
            <w:tcW w:type="dxa" w:w="396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A/B 工作、盲评、净工时统计</w:t>
            </w:r>
          </w:p>
        </w:tc>
        <w:tc>
          <w:tcPr>
            <w:tcW w:type="dxa" w:w="324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质量不低于人工基线，净节省 ≥30%</w:t>
            </w:r>
          </w:p>
        </w:tc>
      </w:tr>
      <w:tr>
        <w:trPr>
          <w:cantSplit/>
        </w:trPr>
        <w:tc>
          <w:tcPr>
            <w:tcW w:type="dxa" w:w="216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第 9—12 周（可选）</w:t>
            </w:r>
          </w:p>
        </w:tc>
        <w:tc>
          <w:tcPr>
            <w:tcW w:type="dxa" w:w="396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扩到第二批案件、集成和采购材料</w:t>
            </w:r>
          </w:p>
        </w:tc>
        <w:tc>
          <w:tcPr>
            <w:tcW w:type="dxa" w:w="324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形成年度合同方案</w:t>
            </w:r>
          </w:p>
        </w:tc>
      </w:tr>
    </w:tbl>
    <w:p>
      <w:pPr>
        <w:spacing w:after="0"/>
      </w:pPr>
    </w:p>
    <w:p>
      <w:pPr>
        <w:pStyle w:val="Heading3"/>
        <w:keepNext/>
        <w:keepLines/>
      </w:pPr>
      <w:r>
        <w:rPr>
          <w:rFonts w:ascii="Calibri" w:hAnsi="Calibri" w:eastAsia="Microsoft YaHei"/>
          <w:b/>
          <w:color w:val="17365D"/>
          <w:sz w:val="24"/>
        </w:rPr>
        <w:t>试点对照</w:t>
      </w:r>
    </w:p>
    <w:p>
      <w:pPr>
        <w:pStyle w:val="ListBullet"/>
        <w:keepLines/>
      </w:pPr>
      <w:r>
        <w:rPr>
          <w:rFonts w:ascii="Calibri" w:hAnsi="Calibri" w:eastAsia="Microsoft YaHei"/>
          <w:b w:val="0"/>
          <w:color w:val="1F2937"/>
          <w:sz w:val="22"/>
        </w:rPr>
        <w:t>历史同类案件匹配材料页数、案由、阶段和团队资历；</w:t>
      </w:r>
    </w:p>
    <w:p>
      <w:pPr>
        <w:pStyle w:val="ListBullet"/>
        <w:keepLines/>
      </w:pPr>
      <w:r>
        <w:rPr>
          <w:rFonts w:ascii="Calibri" w:hAnsi="Calibri" w:eastAsia="Microsoft YaHei"/>
          <w:b w:val="0"/>
          <w:color w:val="1F2937"/>
          <w:sz w:val="22"/>
        </w:rPr>
        <w:t>至少一部分任务采用随机先后顺序或盲评；</w:t>
      </w:r>
    </w:p>
    <w:p>
      <w:pPr>
        <w:pStyle w:val="ListBullet"/>
        <w:keepLines/>
      </w:pPr>
      <w:r>
        <w:rPr>
          <w:rFonts w:ascii="Calibri" w:hAnsi="Calibri" w:eastAsia="Microsoft YaHei"/>
          <w:b w:val="0"/>
          <w:color w:val="1F2937"/>
          <w:sz w:val="22"/>
        </w:rPr>
        <w:t>记录全链路时间，而非只记录模型生成时间；</w:t>
      </w:r>
    </w:p>
    <w:p>
      <w:pPr>
        <w:pStyle w:val="ListBullet"/>
        <w:keepLines/>
      </w:pPr>
      <w:r>
        <w:rPr>
          <w:rFonts w:ascii="Calibri" w:hAnsi="Calibri" w:eastAsia="Microsoft YaHei"/>
          <w:b w:val="0"/>
          <w:color w:val="1F2937"/>
          <w:sz w:val="22"/>
        </w:rPr>
        <w:t>同时记录错误、漏项、二次返工和用户主观负担；</w:t>
      </w:r>
    </w:p>
    <w:p>
      <w:pPr>
        <w:pStyle w:val="ListBullet"/>
        <w:keepLines/>
      </w:pPr>
      <w:r>
        <w:rPr>
          <w:rFonts w:ascii="Calibri" w:hAnsi="Calibri" w:eastAsia="Microsoft YaHei"/>
          <w:b w:val="0"/>
          <w:color w:val="1F2937"/>
          <w:sz w:val="22"/>
        </w:rPr>
        <w:t>客户自行指定一名未参与产品设计的资深律师终评。</w:t>
      </w:r>
    </w:p>
    <w:p>
      <w:pPr>
        <w:pStyle w:val="Heading2"/>
        <w:keepNext/>
        <w:keepLines/>
      </w:pPr>
      <w:r>
        <w:rPr>
          <w:rFonts w:ascii="Calibri" w:hAnsi="Calibri" w:eastAsia="Microsoft YaHei"/>
          <w:b/>
          <w:color w:val="1F4E79"/>
          <w:sz w:val="26"/>
        </w:rPr>
        <w:t>9.7 GTM 路线</w:t>
      </w:r>
    </w:p>
    <w:p>
      <w:pPr>
        <w:pStyle w:val="Heading3"/>
        <w:keepNext/>
        <w:keepLines/>
      </w:pPr>
      <w:r>
        <w:rPr>
          <w:rFonts w:ascii="Calibri" w:hAnsi="Calibri" w:eastAsia="Microsoft YaHei"/>
          <w:b/>
          <w:color w:val="17365D"/>
          <w:sz w:val="24"/>
        </w:rPr>
        <w:t>阶段 1：创始人主导共创</w:t>
      </w:r>
    </w:p>
    <w:p>
      <w:pPr>
        <w:pStyle w:val="ListBullet"/>
        <w:keepLines/>
      </w:pPr>
      <w:r>
        <w:rPr>
          <w:rFonts w:ascii="Calibri" w:hAnsi="Calibri" w:eastAsia="Microsoft YaHei"/>
          <w:b w:val="0"/>
          <w:color w:val="1F2937"/>
          <w:sz w:val="22"/>
        </w:rPr>
        <w:t>在北京、上海、深圳、杭州/南京选择 30 家目标团队；</w:t>
      </w:r>
    </w:p>
    <w:p>
      <w:pPr>
        <w:pStyle w:val="ListBullet"/>
        <w:keepLines/>
      </w:pPr>
      <w:r>
        <w:rPr>
          <w:rFonts w:ascii="Calibri" w:hAnsi="Calibri" w:eastAsia="Microsoft YaHei"/>
          <w:b w:val="0"/>
          <w:color w:val="1F2937"/>
          <w:sz w:val="22"/>
        </w:rPr>
        <w:t>完成不少于 40 次结构化访谈，其中合伙人 15、承办律师 15、IT/合规 10；</w:t>
      </w:r>
    </w:p>
    <w:p>
      <w:pPr>
        <w:pStyle w:val="ListBullet"/>
        <w:keepLines/>
      </w:pPr>
      <w:r>
        <w:rPr>
          <w:rFonts w:ascii="Calibri" w:hAnsi="Calibri" w:eastAsia="Microsoft YaHei"/>
          <w:b w:val="0"/>
          <w:color w:val="1F2937"/>
          <w:sz w:val="22"/>
        </w:rPr>
        <w:t>用客户自己的材料演示“原件—时间线—证据矩阵”，不演示泛法律问答；</w:t>
      </w:r>
    </w:p>
    <w:p>
      <w:pPr>
        <w:pStyle w:val="ListBullet"/>
        <w:keepLines/>
      </w:pPr>
      <w:r>
        <w:rPr>
          <w:rFonts w:ascii="Calibri" w:hAnsi="Calibri" w:eastAsia="Microsoft YaHei"/>
          <w:b w:val="0"/>
          <w:color w:val="1F2937"/>
          <w:sz w:val="22"/>
        </w:rPr>
        <w:t>签 5—8 个付费设计伙伴，明确边界和共同成功指标。</w:t>
      </w:r>
    </w:p>
    <w:p>
      <w:pPr>
        <w:pStyle w:val="Heading3"/>
        <w:keepNext/>
        <w:keepLines/>
      </w:pPr>
      <w:r>
        <w:rPr>
          <w:rFonts w:ascii="Calibri" w:hAnsi="Calibri" w:eastAsia="Microsoft YaHei"/>
          <w:b/>
          <w:color w:val="17365D"/>
          <w:sz w:val="24"/>
        </w:rPr>
        <w:t>阶段 2：案例驱动销售</w:t>
      </w:r>
    </w:p>
    <w:p>
      <w:pPr>
        <w:pStyle w:val="ListBullet"/>
        <w:keepLines/>
      </w:pPr>
      <w:r>
        <w:rPr>
          <w:rFonts w:ascii="Calibri" w:hAnsi="Calibri" w:eastAsia="Microsoft YaHei"/>
          <w:b w:val="0"/>
          <w:color w:val="1F2937"/>
          <w:sz w:val="22"/>
        </w:rPr>
        <w:t>发布匿名化、经客户批准的工时和质量案例；</w:t>
      </w:r>
    </w:p>
    <w:p>
      <w:pPr>
        <w:pStyle w:val="ListBullet"/>
        <w:keepLines/>
      </w:pPr>
      <w:r>
        <w:rPr>
          <w:rFonts w:ascii="Calibri" w:hAnsi="Calibri" w:eastAsia="Microsoft YaHei"/>
          <w:b w:val="0"/>
          <w:color w:val="1F2937"/>
          <w:sz w:val="22"/>
        </w:rPr>
        <w:t>用“案件梳理成熟度评估”作为售前入口；</w:t>
      </w:r>
    </w:p>
    <w:p>
      <w:pPr>
        <w:pStyle w:val="ListBullet"/>
        <w:keepLines/>
      </w:pPr>
      <w:r>
        <w:rPr>
          <w:rFonts w:ascii="Calibri" w:hAnsi="Calibri" w:eastAsia="Microsoft YaHei"/>
          <w:b w:val="0"/>
          <w:color w:val="1F2937"/>
          <w:sz w:val="22"/>
        </w:rPr>
        <w:t>建立安全资料室：架构、DPA、渗透、部署、模型清单、退出计划；</w:t>
      </w:r>
    </w:p>
    <w:p>
      <w:pPr>
        <w:pStyle w:val="ListBullet"/>
        <w:keepLines/>
      </w:pPr>
      <w:r>
        <w:rPr>
          <w:rFonts w:ascii="Calibri" w:hAnsi="Calibri" w:eastAsia="Microsoft YaHei"/>
          <w:b w:val="0"/>
          <w:color w:val="1F2937"/>
          <w:sz w:val="22"/>
        </w:rPr>
        <w:t>由解决方案律师和售前工程师共同完成价值验证。</w:t>
      </w:r>
    </w:p>
    <w:p>
      <w:pPr>
        <w:pStyle w:val="Heading3"/>
        <w:keepNext/>
        <w:keepLines/>
      </w:pPr>
      <w:r>
        <w:rPr>
          <w:rFonts w:ascii="Calibri" w:hAnsi="Calibri" w:eastAsia="Microsoft YaHei"/>
          <w:b/>
          <w:color w:val="17365D"/>
          <w:sz w:val="24"/>
        </w:rPr>
        <w:t>阶段 3：伙伴与渠道</w:t>
      </w:r>
    </w:p>
    <w:p>
      <w:pPr>
        <w:pStyle w:val="ListBullet"/>
        <w:keepLines/>
      </w:pPr>
      <w:r>
        <w:rPr>
          <w:rFonts w:ascii="Calibri" w:hAnsi="Calibri" w:eastAsia="Microsoft YaHei"/>
          <w:b w:val="0"/>
          <w:color w:val="1F2937"/>
          <w:sz w:val="22"/>
        </w:rPr>
        <w:t>法律数据库/API 提供商：法源与引证；</w:t>
      </w:r>
    </w:p>
    <w:p>
      <w:pPr>
        <w:pStyle w:val="ListBullet"/>
        <w:keepLines/>
      </w:pPr>
      <w:r>
        <w:rPr>
          <w:rFonts w:ascii="Calibri" w:hAnsi="Calibri" w:eastAsia="Microsoft YaHei"/>
          <w:b w:val="0"/>
          <w:color w:val="1F2937"/>
          <w:sz w:val="22"/>
        </w:rPr>
        <w:t>律所 DMS/OA 厂商：减少迁移摩擦；</w:t>
      </w:r>
    </w:p>
    <w:p>
      <w:pPr>
        <w:pStyle w:val="ListBullet"/>
        <w:keepLines/>
      </w:pPr>
      <w:r>
        <w:rPr>
          <w:rFonts w:ascii="Calibri" w:hAnsi="Calibri" w:eastAsia="Microsoft YaHei"/>
          <w:b w:val="0"/>
          <w:color w:val="1F2937"/>
          <w:sz w:val="22"/>
        </w:rPr>
        <w:t>境内云/信创/安全厂商：专属云和私有化；</w:t>
      </w:r>
    </w:p>
    <w:p>
      <w:pPr>
        <w:pStyle w:val="ListBullet"/>
        <w:keepLines/>
      </w:pPr>
      <w:r>
        <w:rPr>
          <w:rFonts w:ascii="Calibri" w:hAnsi="Calibri" w:eastAsia="Microsoft YaHei"/>
          <w:b w:val="0"/>
          <w:color w:val="1F2937"/>
          <w:sz w:val="22"/>
        </w:rPr>
        <w:t>律师协会/法学院/培训机构：治理培训与人才；</w:t>
      </w:r>
    </w:p>
    <w:p>
      <w:pPr>
        <w:pStyle w:val="ListBullet"/>
        <w:keepLines/>
      </w:pPr>
      <w:r>
        <w:rPr>
          <w:rFonts w:ascii="Calibri" w:hAnsi="Calibri" w:eastAsia="Microsoft YaHei"/>
          <w:b w:val="0"/>
          <w:color w:val="1F2937"/>
          <w:sz w:val="22"/>
        </w:rPr>
        <w:t>行业解决方案集成商：政府和大型企业，但避免完全外包核心实施。</w:t>
      </w:r>
    </w:p>
    <w:p>
      <w:pPr>
        <w:pStyle w:val="Heading3"/>
        <w:keepNext/>
        <w:keepLines/>
      </w:pPr>
      <w:r>
        <w:rPr>
          <w:rFonts w:ascii="Calibri" w:hAnsi="Calibri" w:eastAsia="Microsoft YaHei"/>
          <w:b/>
          <w:color w:val="17365D"/>
          <w:sz w:val="24"/>
        </w:rPr>
        <w:t>阶段 4：产品化扩张</w:t>
      </w:r>
    </w:p>
    <w:p>
      <w:pPr>
        <w:pStyle w:val="ListBullet"/>
        <w:keepLines/>
      </w:pPr>
      <w:r>
        <w:rPr>
          <w:rFonts w:ascii="Calibri" w:hAnsi="Calibri" w:eastAsia="Microsoft YaHei"/>
          <w:b w:val="0"/>
          <w:color w:val="1F2937"/>
          <w:sz w:val="22"/>
        </w:rPr>
        <w:t>从商业合同争议扩到建设工程或劳动争议；</w:t>
      </w:r>
    </w:p>
    <w:p>
      <w:pPr>
        <w:pStyle w:val="ListBullet"/>
        <w:keepLines/>
      </w:pPr>
      <w:r>
        <w:rPr>
          <w:rFonts w:ascii="Calibri" w:hAnsi="Calibri" w:eastAsia="Microsoft YaHei"/>
          <w:b w:val="0"/>
          <w:color w:val="1F2937"/>
          <w:sz w:val="22"/>
        </w:rPr>
        <w:t>推出团队模板市场，但模板必须经过机构审批；</w:t>
      </w:r>
    </w:p>
    <w:p>
      <w:pPr>
        <w:pStyle w:val="ListBullet"/>
        <w:keepLines/>
      </w:pPr>
      <w:r>
        <w:rPr>
          <w:rFonts w:ascii="Calibri" w:hAnsi="Calibri" w:eastAsia="Microsoft YaHei"/>
          <w:b w:val="0"/>
          <w:color w:val="1F2937"/>
          <w:sz w:val="22"/>
        </w:rPr>
        <w:t>形成轻量 Team SaaS 服务小所，支持自助但保留机构认证和风险限制。</w:t>
      </w:r>
    </w:p>
    <w:p>
      <w:pPr>
        <w:pStyle w:val="Heading2"/>
        <w:keepNext/>
        <w:keepLines/>
      </w:pPr>
      <w:r>
        <w:rPr>
          <w:rFonts w:ascii="Calibri" w:hAnsi="Calibri" w:eastAsia="Microsoft YaHei"/>
          <w:b/>
          <w:color w:val="1F4E79"/>
          <w:sz w:val="26"/>
        </w:rPr>
        <w:t>9.8 销售漏斗与目标</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211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指标</w:t>
            </w:r>
          </w:p>
        </w:tc>
        <w:tc>
          <w:tcPr>
            <w:tcW w:type="dxa" w:w="183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试点期目标</w:t>
            </w:r>
          </w:p>
        </w:tc>
        <w:tc>
          <w:tcPr>
            <w:tcW w:type="dxa" w:w="540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收费 V1 目标</w:t>
            </w:r>
          </w:p>
        </w:tc>
      </w:tr>
      <w:tr>
        <w:trPr>
          <w:cantSplit/>
        </w:trPr>
        <w:tc>
          <w:tcPr>
            <w:tcW w:type="dxa" w:w="21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目标账户→深度访谈</w:t>
            </w:r>
          </w:p>
        </w:tc>
        <w:tc>
          <w:tcPr>
            <w:tcW w:type="dxa" w:w="183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≥35%</w:t>
            </w:r>
          </w:p>
        </w:tc>
        <w:tc>
          <w:tcPr>
            <w:tcW w:type="dxa" w:w="54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≥25%</w:t>
            </w:r>
          </w:p>
        </w:tc>
      </w:tr>
      <w:tr>
        <w:trPr>
          <w:cantSplit/>
        </w:trPr>
        <w:tc>
          <w:tcPr>
            <w:tcW w:type="dxa" w:w="21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访谈→付费试点</w:t>
            </w:r>
          </w:p>
        </w:tc>
        <w:tc>
          <w:tcPr>
            <w:tcW w:type="dxa" w:w="183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≥20%</w:t>
            </w:r>
          </w:p>
        </w:tc>
        <w:tc>
          <w:tcPr>
            <w:tcW w:type="dxa" w:w="54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≥15%</w:t>
            </w:r>
          </w:p>
        </w:tc>
      </w:tr>
      <w:tr>
        <w:trPr>
          <w:cantSplit/>
        </w:trPr>
        <w:tc>
          <w:tcPr>
            <w:tcW w:type="dxa" w:w="21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试点→年度合同</w:t>
            </w:r>
          </w:p>
        </w:tc>
        <w:tc>
          <w:tcPr>
            <w:tcW w:type="dxa" w:w="183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≥50%</w:t>
            </w:r>
          </w:p>
        </w:tc>
        <w:tc>
          <w:tcPr>
            <w:tcW w:type="dxa" w:w="54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≥60%</w:t>
            </w:r>
          </w:p>
        </w:tc>
      </w:tr>
      <w:tr>
        <w:trPr>
          <w:cantSplit/>
        </w:trPr>
        <w:tc>
          <w:tcPr>
            <w:tcW w:type="dxa" w:w="21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年度合同实施周期</w:t>
            </w:r>
          </w:p>
        </w:tc>
        <w:tc>
          <w:tcPr>
            <w:tcW w:type="dxa" w:w="183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&lt;45 天</w:t>
            </w:r>
          </w:p>
        </w:tc>
        <w:tc>
          <w:tcPr>
            <w:tcW w:type="dxa" w:w="54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标准 SaaS &lt;14 天；专属云 &lt;60 天</w:t>
            </w:r>
          </w:p>
        </w:tc>
      </w:tr>
      <w:tr>
        <w:trPr>
          <w:cantSplit/>
        </w:trPr>
        <w:tc>
          <w:tcPr>
            <w:tcW w:type="dxa" w:w="21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销售周期</w:t>
            </w:r>
          </w:p>
        </w:tc>
        <w:tc>
          <w:tcPr>
            <w:tcW w:type="dxa" w:w="183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2—4 个月</w:t>
            </w:r>
          </w:p>
        </w:tc>
        <w:tc>
          <w:tcPr>
            <w:tcW w:type="dxa" w:w="54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中型律所 3—6 个月；大型 6—12 个月</w:t>
            </w:r>
          </w:p>
        </w:tc>
      </w:tr>
      <w:tr>
        <w:trPr>
          <w:cantSplit/>
        </w:trPr>
        <w:tc>
          <w:tcPr>
            <w:tcW w:type="dxa" w:w="21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CAC 回收期</w:t>
            </w:r>
          </w:p>
        </w:tc>
        <w:tc>
          <w:tcPr>
            <w:tcW w:type="dxa" w:w="183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暂不优化</w:t>
            </w:r>
          </w:p>
        </w:tc>
        <w:tc>
          <w:tcPr>
            <w:tcW w:type="dxa" w:w="54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&lt;18 个月</w:t>
            </w:r>
          </w:p>
        </w:tc>
      </w:tr>
      <w:tr>
        <w:trPr>
          <w:cantSplit/>
        </w:trPr>
        <w:tc>
          <w:tcPr>
            <w:tcW w:type="dxa" w:w="211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毛收入留存 GRR</w:t>
            </w:r>
          </w:p>
        </w:tc>
        <w:tc>
          <w:tcPr>
            <w:tcW w:type="dxa" w:w="183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不适用</w:t>
            </w:r>
          </w:p>
        </w:tc>
        <w:tc>
          <w:tcPr>
            <w:tcW w:type="dxa" w:w="54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≥90%</w:t>
            </w:r>
          </w:p>
        </w:tc>
      </w:tr>
      <w:tr>
        <w:trPr>
          <w:cantSplit/>
        </w:trPr>
        <w:tc>
          <w:tcPr>
            <w:tcW w:type="dxa" w:w="211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净收入留存 NRR</w:t>
            </w:r>
          </w:p>
        </w:tc>
        <w:tc>
          <w:tcPr>
            <w:tcW w:type="dxa" w:w="183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不适用</w:t>
            </w:r>
          </w:p>
        </w:tc>
        <w:tc>
          <w:tcPr>
            <w:tcW w:type="dxa" w:w="54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≥110%（扩席位/容量）</w:t>
            </w:r>
          </w:p>
        </w:tc>
      </w:tr>
    </w:tbl>
    <w:p>
      <w:pPr>
        <w:spacing w:after="0"/>
      </w:pPr>
    </w:p>
    <w:p>
      <w:r>
        <w:rPr>
          <w:rFonts w:ascii="Calibri" w:hAnsi="Calibri" w:eastAsia="Microsoft YaHei"/>
          <w:b w:val="0"/>
          <w:color w:val="1F2937"/>
          <w:sz w:val="22"/>
        </w:rPr>
        <w:t>这些是管理目标，必须按客户规模分组，不能用少量大单掩盖标准产品留存差。</w:t>
      </w:r>
    </w:p>
    <w:p>
      <w:pPr>
        <w:pStyle w:val="Heading2"/>
        <w:keepNext/>
        <w:keepLines/>
      </w:pPr>
      <w:r>
        <w:rPr>
          <w:rFonts w:ascii="Calibri" w:hAnsi="Calibri" w:eastAsia="Microsoft YaHei"/>
          <w:b/>
          <w:color w:val="1F4E79"/>
          <w:sz w:val="26"/>
        </w:rPr>
        <w:t>9.9 客户成功与变革管理</w:t>
      </w:r>
    </w:p>
    <w:p>
      <w:r>
        <w:rPr>
          <w:rFonts w:ascii="Calibri" w:hAnsi="Calibri" w:eastAsia="Microsoft YaHei"/>
          <w:b w:val="0"/>
          <w:color w:val="1F2937"/>
          <w:sz w:val="22"/>
        </w:rPr>
        <w:t>法律 AI 失败往往不是模型不会答，而是工作方式没有改变。每个客户应有：</w:t>
      </w:r>
    </w:p>
    <w:p>
      <w:pPr>
        <w:pStyle w:val="ListBullet"/>
        <w:keepLines/>
      </w:pPr>
      <w:r>
        <w:rPr>
          <w:rFonts w:ascii="Calibri" w:hAnsi="Calibri" w:eastAsia="Microsoft YaHei"/>
          <w:b w:val="0"/>
          <w:color w:val="1F2937"/>
          <w:sz w:val="22"/>
        </w:rPr>
        <w:t>一名合伙人赞助者、一名产品管理员、2—5 名超级用户；</w:t>
      </w:r>
    </w:p>
    <w:p>
      <w:pPr>
        <w:pStyle w:val="ListBullet"/>
        <w:keepLines/>
      </w:pPr>
      <w:r>
        <w:rPr>
          <w:rFonts w:ascii="Calibri" w:hAnsi="Calibri" w:eastAsia="Microsoft YaHei"/>
          <w:b w:val="0"/>
          <w:color w:val="1F2937"/>
          <w:sz w:val="22"/>
        </w:rPr>
        <w:t>“允许/禁止”场景清单和客户自己的 AI 使用政策；</w:t>
      </w:r>
    </w:p>
    <w:p>
      <w:pPr>
        <w:pStyle w:val="ListBullet"/>
        <w:keepLines/>
      </w:pPr>
      <w:r>
        <w:rPr>
          <w:rFonts w:ascii="Calibri" w:hAnsi="Calibri" w:eastAsia="Microsoft YaHei"/>
          <w:b w:val="0"/>
          <w:color w:val="1F2937"/>
          <w:sz w:val="22"/>
        </w:rPr>
        <w:t>60 分钟数据安全与职业责任培训；</w:t>
      </w:r>
    </w:p>
    <w:p>
      <w:pPr>
        <w:pStyle w:val="ListBullet"/>
        <w:keepLines/>
      </w:pPr>
      <w:r>
        <w:rPr>
          <w:rFonts w:ascii="Calibri" w:hAnsi="Calibri" w:eastAsia="Microsoft YaHei"/>
          <w:b w:val="0"/>
          <w:color w:val="1F2937"/>
          <w:sz w:val="22"/>
        </w:rPr>
        <w:t>首 10 个案件的陪跑和每周办公时间；</w:t>
      </w:r>
    </w:p>
    <w:p>
      <w:pPr>
        <w:pStyle w:val="ListBullet"/>
        <w:keepLines/>
      </w:pPr>
      <w:r>
        <w:rPr>
          <w:rFonts w:ascii="Calibri" w:hAnsi="Calibri" w:eastAsia="Microsoft YaHei"/>
          <w:b w:val="0"/>
          <w:color w:val="1F2937"/>
          <w:sz w:val="22"/>
        </w:rPr>
        <w:t>模板/法源/模型变更审批；</w:t>
      </w:r>
    </w:p>
    <w:p>
      <w:pPr>
        <w:pStyle w:val="ListBullet"/>
        <w:keepLines/>
      </w:pPr>
      <w:r>
        <w:rPr>
          <w:rFonts w:ascii="Calibri" w:hAnsi="Calibri" w:eastAsia="Microsoft YaHei"/>
          <w:b w:val="0"/>
          <w:color w:val="1F2937"/>
          <w:sz w:val="22"/>
        </w:rPr>
        <w:t>每月价值报告：工作包、净工时、引证质量、复核负担、模型成本；</w:t>
      </w:r>
    </w:p>
    <w:p>
      <w:pPr>
        <w:pStyle w:val="ListBullet"/>
        <w:keepLines/>
      </w:pPr>
      <w:r>
        <w:rPr>
          <w:rFonts w:ascii="Calibri" w:hAnsi="Calibri" w:eastAsia="Microsoft YaHei"/>
          <w:b w:val="0"/>
          <w:color w:val="1F2937"/>
          <w:sz w:val="22"/>
        </w:rPr>
        <w:t>低采用触发机制：若连续两周无工作包，做流程诊断而非继续加功能。</w:t>
      </w:r>
    </w:p>
    <w:p>
      <w:pPr>
        <w:pStyle w:val="Heading2"/>
        <w:keepNext/>
        <w:keepLines/>
      </w:pPr>
      <w:r>
        <w:rPr>
          <w:rFonts w:ascii="Calibri" w:hAnsi="Calibri" w:eastAsia="Microsoft YaHei"/>
          <w:b/>
          <w:color w:val="1F4E79"/>
          <w:sz w:val="26"/>
        </w:rPr>
        <w:t>9.10 采购资料室</w:t>
      </w:r>
    </w:p>
    <w:p>
      <w:r>
        <w:rPr>
          <w:rFonts w:ascii="Calibri" w:hAnsi="Calibri" w:eastAsia="Microsoft YaHei"/>
          <w:b w:val="0"/>
          <w:color w:val="1F2937"/>
          <w:sz w:val="22"/>
        </w:rPr>
        <w:t>在第一份企业合同前准备：</w:t>
      </w:r>
    </w:p>
    <w:p>
      <w:pPr>
        <w:pStyle w:val="ListBullet"/>
        <w:keepLines/>
      </w:pPr>
      <w:r>
        <w:rPr>
          <w:rFonts w:ascii="Calibri" w:hAnsi="Calibri" w:eastAsia="Microsoft YaHei"/>
          <w:b w:val="0"/>
          <w:color w:val="1F2937"/>
          <w:sz w:val="22"/>
        </w:rPr>
        <w:t>公司与产品介绍、财务持续性说明；</w:t>
      </w:r>
    </w:p>
    <w:p>
      <w:pPr>
        <w:pStyle w:val="ListBullet"/>
        <w:keepLines/>
      </w:pPr>
      <w:r>
        <w:rPr>
          <w:rFonts w:ascii="Calibri" w:hAnsi="Calibri" w:eastAsia="Microsoft YaHei"/>
          <w:b w:val="0"/>
          <w:color w:val="1F2937"/>
          <w:sz w:val="22"/>
        </w:rPr>
        <w:t>部署和数据流图；</w:t>
      </w:r>
    </w:p>
    <w:p>
      <w:pPr>
        <w:pStyle w:val="ListBullet"/>
        <w:keepLines/>
      </w:pPr>
      <w:r>
        <w:rPr>
          <w:rFonts w:ascii="Calibri" w:hAnsi="Calibri" w:eastAsia="Microsoft YaHei"/>
          <w:b w:val="0"/>
          <w:color w:val="1F2937"/>
          <w:sz w:val="22"/>
        </w:rPr>
        <w:t>安全白皮书、渗透测试摘要、漏洞披露计划；</w:t>
      </w:r>
    </w:p>
    <w:p>
      <w:pPr>
        <w:pStyle w:val="ListBullet"/>
        <w:keepLines/>
      </w:pPr>
      <w:r>
        <w:rPr>
          <w:rFonts w:ascii="Calibri" w:hAnsi="Calibri" w:eastAsia="Microsoft YaHei"/>
          <w:b w:val="0"/>
          <w:color w:val="1F2937"/>
          <w:sz w:val="22"/>
        </w:rPr>
        <w:t>数据分类、加密、密钥、备份、删除和事件响应；</w:t>
      </w:r>
    </w:p>
    <w:p>
      <w:pPr>
        <w:pStyle w:val="ListBullet"/>
        <w:keepLines/>
      </w:pPr>
      <w:r>
        <w:rPr>
          <w:rFonts w:ascii="Calibri" w:hAnsi="Calibri" w:eastAsia="Microsoft YaHei"/>
          <w:b w:val="0"/>
          <w:color w:val="1F2937"/>
          <w:sz w:val="22"/>
        </w:rPr>
        <w:t>模型与子处理者清单；</w:t>
      </w:r>
    </w:p>
    <w:p>
      <w:pPr>
        <w:pStyle w:val="ListBullet"/>
        <w:keepLines/>
      </w:pPr>
      <w:r>
        <w:rPr>
          <w:rFonts w:ascii="Calibri" w:hAnsi="Calibri" w:eastAsia="Microsoft YaHei"/>
          <w:b w:val="0"/>
          <w:color w:val="1F2937"/>
          <w:sz w:val="22"/>
        </w:rPr>
        <w:t>数据不用于训练和留存承诺；</w:t>
      </w:r>
    </w:p>
    <w:p>
      <w:pPr>
        <w:pStyle w:val="ListBullet"/>
        <w:keepLines/>
      </w:pPr>
      <w:r>
        <w:rPr>
          <w:rFonts w:ascii="Calibri" w:hAnsi="Calibri" w:eastAsia="Microsoft YaHei"/>
          <w:b w:val="0"/>
          <w:color w:val="1F2937"/>
          <w:sz w:val="22"/>
        </w:rPr>
        <w:t>DPA、SLA、退出迁移和审计条款；</w:t>
      </w:r>
    </w:p>
    <w:p>
      <w:pPr>
        <w:pStyle w:val="ListBullet"/>
        <w:keepLines/>
      </w:pPr>
      <w:r>
        <w:rPr>
          <w:rFonts w:ascii="Calibri" w:hAnsi="Calibri" w:eastAsia="Microsoft YaHei"/>
          <w:b w:val="0"/>
          <w:color w:val="1F2937"/>
          <w:sz w:val="22"/>
        </w:rPr>
        <w:t>AI 质量评测、已知限制和人工审核机制；</w:t>
      </w:r>
    </w:p>
    <w:p>
      <w:pPr>
        <w:pStyle w:val="ListBullet"/>
        <w:keepLines/>
      </w:pPr>
      <w:r>
        <w:rPr>
          <w:rFonts w:ascii="Calibri" w:hAnsi="Calibri" w:eastAsia="Microsoft YaHei"/>
          <w:b w:val="0"/>
          <w:color w:val="1F2937"/>
          <w:sz w:val="22"/>
        </w:rPr>
        <w:t>SBOM 与开源许可证清单；</w:t>
      </w:r>
    </w:p>
    <w:p>
      <w:pPr>
        <w:pStyle w:val="ListBullet"/>
        <w:keepLines/>
      </w:pPr>
      <w:r>
        <w:rPr>
          <w:rFonts w:ascii="Calibri" w:hAnsi="Calibri" w:eastAsia="Microsoft YaHei"/>
          <w:b w:val="0"/>
          <w:color w:val="1F2937"/>
          <w:sz w:val="22"/>
        </w:rPr>
        <w:t>专业责任、网络安全和董责险配置计划。</w:t>
      </w:r>
    </w:p>
    <w:p>
      <w:pPr>
        <w:pStyle w:val="Heading1"/>
        <w:keepNext/>
        <w:keepLines/>
      </w:pPr>
      <w:r>
        <w:rPr>
          <w:rFonts w:ascii="Calibri" w:hAnsi="Calibri" w:eastAsia="Microsoft YaHei"/>
          <w:b/>
          <w:color w:val="1F4E79"/>
          <w:sz w:val="32"/>
        </w:rPr>
        <w:t>十、财务模型、预算与单位经济</w:t>
      </w:r>
    </w:p>
    <w:p>
      <w:pPr>
        <w:pStyle w:val="Heading2"/>
        <w:keepNext/>
        <w:keepLines/>
      </w:pPr>
      <w:r>
        <w:rPr>
          <w:rFonts w:ascii="Calibri" w:hAnsi="Calibri" w:eastAsia="Microsoft YaHei"/>
          <w:b/>
          <w:color w:val="1F4E79"/>
          <w:sz w:val="26"/>
        </w:rPr>
        <w:t>10.1 12 个月预算情景</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36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情景</w:t>
            </w:r>
          </w:p>
        </w:tc>
        <w:tc>
          <w:tcPr>
            <w:tcW w:type="dxa" w:w="136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团队规模</w:t>
            </w:r>
          </w:p>
        </w:tc>
        <w:tc>
          <w:tcPr>
            <w:tcW w:type="dxa" w:w="244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12 个月现金支出</w:t>
            </w:r>
          </w:p>
        </w:tc>
        <w:tc>
          <w:tcPr>
            <w:tcW w:type="dxa" w:w="419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适用目标</w:t>
            </w:r>
          </w:p>
        </w:tc>
      </w:tr>
      <w:tr>
        <w:trPr>
          <w:cantSplit/>
        </w:trPr>
        <w:tc>
          <w:tcPr>
            <w:tcW w:type="dxa" w:w="136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精益验证</w:t>
            </w:r>
          </w:p>
        </w:tc>
        <w:tc>
          <w:tcPr>
            <w:tcW w:type="dxa" w:w="136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7—9 人</w:t>
            </w:r>
          </w:p>
        </w:tc>
        <w:tc>
          <w:tcPr>
            <w:tcW w:type="dxa" w:w="244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¥400—800 万</w:t>
            </w:r>
          </w:p>
        </w:tc>
        <w:tc>
          <w:tcPr>
            <w:tcW w:type="dxa" w:w="41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完成安全 Alpha、5 个试点，不承诺重私有化</w:t>
            </w:r>
          </w:p>
        </w:tc>
      </w:tr>
      <w:tr>
        <w:trPr>
          <w:cantSplit/>
        </w:trPr>
        <w:tc>
          <w:tcPr>
            <w:tcW w:type="dxa" w:w="136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标准建设</w:t>
            </w:r>
          </w:p>
        </w:tc>
        <w:tc>
          <w:tcPr>
            <w:tcW w:type="dxa" w:w="136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11—15 人</w:t>
            </w:r>
          </w:p>
        </w:tc>
        <w:tc>
          <w:tcPr>
            <w:tcW w:type="dxa" w:w="244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¥800—1,500 万</w:t>
            </w:r>
          </w:p>
        </w:tc>
        <w:tc>
          <w:tcPr>
            <w:tcW w:type="dxa" w:w="41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收费 V1、专属云、15—30 家客户、完整评测</w:t>
            </w:r>
          </w:p>
        </w:tc>
      </w:tr>
      <w:tr>
        <w:trPr>
          <w:cantSplit/>
        </w:trPr>
        <w:tc>
          <w:tcPr>
            <w:tcW w:type="dxa" w:w="136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企业/政务级</w:t>
            </w:r>
          </w:p>
        </w:tc>
        <w:tc>
          <w:tcPr>
            <w:tcW w:type="dxa" w:w="136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18—28 人</w:t>
            </w:r>
          </w:p>
        </w:tc>
        <w:tc>
          <w:tcPr>
            <w:tcW w:type="dxa" w:w="244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¥1,500—3,000 万</w:t>
            </w:r>
          </w:p>
        </w:tc>
        <w:tc>
          <w:tcPr>
            <w:tcW w:type="dxa" w:w="41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并行私有化、信创/密码/政府采购和多案由</w:t>
            </w:r>
          </w:p>
        </w:tc>
      </w:tr>
    </w:tbl>
    <w:p>
      <w:pPr>
        <w:spacing w:after="0"/>
      </w:pPr>
    </w:p>
    <w:p>
      <w:r>
        <w:rPr>
          <w:rFonts w:ascii="Calibri" w:hAnsi="Calibri" w:eastAsia="Microsoft YaHei"/>
          <w:b w:val="0"/>
          <w:color w:val="1F2937"/>
          <w:sz w:val="22"/>
        </w:rPr>
        <w:t xml:space="preserve">建议采用 </w:t>
      </w:r>
      <w:r>
        <w:rPr>
          <w:rFonts w:ascii="Calibri" w:hAnsi="Calibri" w:eastAsia="Microsoft YaHei"/>
          <w:b/>
          <w:color w:val="1F2937"/>
          <w:sz w:val="22"/>
        </w:rPr>
        <w:t>标准建设情景</w:t>
      </w:r>
      <w:r>
        <w:rPr>
          <w:rFonts w:ascii="Calibri" w:hAnsi="Calibri" w:eastAsia="Microsoft YaHei"/>
          <w:b w:val="0"/>
          <w:color w:val="1F2937"/>
          <w:sz w:val="22"/>
        </w:rPr>
        <w:t>，但以阶段拨款控制：先批准 0—16 周预算，达到质量和付费门槛再释放第 5—12 月预算。</w:t>
      </w:r>
    </w:p>
    <w:p>
      <w:pPr>
        <w:pStyle w:val="Heading2"/>
        <w:keepNext/>
        <w:keepLines/>
      </w:pPr>
      <w:r>
        <w:rPr>
          <w:rFonts w:ascii="Calibri" w:hAnsi="Calibri" w:eastAsia="Microsoft YaHei"/>
          <w:b/>
          <w:color w:val="1F4E79"/>
          <w:sz w:val="26"/>
        </w:rPr>
        <w:t>10.2 标准建设情景预算分配</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88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项目</w:t>
            </w:r>
          </w:p>
        </w:tc>
        <w:tc>
          <w:tcPr>
            <w:tcW w:type="dxa" w:w="208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年度假设</w:t>
            </w:r>
          </w:p>
        </w:tc>
        <w:tc>
          <w:tcPr>
            <w:tcW w:type="dxa" w:w="163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占比参考</w:t>
            </w:r>
          </w:p>
        </w:tc>
        <w:tc>
          <w:tcPr>
            <w:tcW w:type="dxa" w:w="376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说明</w:t>
            </w:r>
          </w:p>
        </w:tc>
      </w:tr>
      <w:tr>
        <w:trPr>
          <w:cantSplit/>
        </w:trPr>
        <w:tc>
          <w:tcPr>
            <w:tcW w:type="dxa" w:w="18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人员</w:t>
            </w:r>
          </w:p>
        </w:tc>
        <w:tc>
          <w:tcPr>
            <w:tcW w:type="dxa" w:w="20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¥600—950 万</w:t>
            </w:r>
          </w:p>
        </w:tc>
        <w:tc>
          <w:tcPr>
            <w:tcW w:type="dxa" w:w="163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60%—70%</w:t>
            </w:r>
          </w:p>
        </w:tc>
        <w:tc>
          <w:tcPr>
            <w:tcW w:type="dxa" w:w="376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研发、法律、产品、安全、销售/交付</w:t>
            </w:r>
          </w:p>
        </w:tc>
      </w:tr>
      <w:tr>
        <w:trPr>
          <w:cantSplit/>
        </w:trPr>
        <w:tc>
          <w:tcPr>
            <w:tcW w:type="dxa" w:w="18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模型/算力/OCR</w:t>
            </w:r>
          </w:p>
        </w:tc>
        <w:tc>
          <w:tcPr>
            <w:tcW w:type="dxa" w:w="20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¥80—180 万</w:t>
            </w:r>
          </w:p>
        </w:tc>
        <w:tc>
          <w:tcPr>
            <w:tcW w:type="dxa" w:w="163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8%—15%</w:t>
            </w:r>
          </w:p>
        </w:tc>
        <w:tc>
          <w:tcPr>
            <w:tcW w:type="dxa" w:w="376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试点阶段设置案件预算和缓存</w:t>
            </w:r>
          </w:p>
        </w:tc>
      </w:tr>
      <w:tr>
        <w:trPr>
          <w:cantSplit/>
        </w:trPr>
        <w:tc>
          <w:tcPr>
            <w:tcW w:type="dxa" w:w="18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云、存储、安全</w:t>
            </w:r>
          </w:p>
        </w:tc>
        <w:tc>
          <w:tcPr>
            <w:tcW w:type="dxa" w:w="20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¥60—150 万</w:t>
            </w:r>
          </w:p>
        </w:tc>
        <w:tc>
          <w:tcPr>
            <w:tcW w:type="dxa" w:w="163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6%—12%</w:t>
            </w:r>
          </w:p>
        </w:tc>
        <w:tc>
          <w:tcPr>
            <w:tcW w:type="dxa" w:w="376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多环境、日志、备份、扫描、渗透</w:t>
            </w:r>
          </w:p>
        </w:tc>
      </w:tr>
      <w:tr>
        <w:trPr>
          <w:cantSplit/>
        </w:trPr>
        <w:tc>
          <w:tcPr>
            <w:tcW w:type="dxa" w:w="18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法律数据授权</w:t>
            </w:r>
          </w:p>
        </w:tc>
        <w:tc>
          <w:tcPr>
            <w:tcW w:type="dxa" w:w="20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¥50—200 万</w:t>
            </w:r>
          </w:p>
        </w:tc>
        <w:tc>
          <w:tcPr>
            <w:tcW w:type="dxa" w:w="163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5%—15%</w:t>
            </w:r>
          </w:p>
        </w:tc>
        <w:tc>
          <w:tcPr>
            <w:tcW w:type="dxa" w:w="376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高度取决于合作模式，需尽早谈判</w:t>
            </w:r>
          </w:p>
        </w:tc>
      </w:tr>
      <w:tr>
        <w:trPr>
          <w:cantSplit/>
        </w:trPr>
        <w:tc>
          <w:tcPr>
            <w:tcW w:type="dxa" w:w="18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合规/法律/认证</w:t>
            </w:r>
          </w:p>
        </w:tc>
        <w:tc>
          <w:tcPr>
            <w:tcW w:type="dxa" w:w="20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¥40—120 万</w:t>
            </w:r>
          </w:p>
        </w:tc>
        <w:tc>
          <w:tcPr>
            <w:tcW w:type="dxa" w:w="163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4%—8%</w:t>
            </w:r>
          </w:p>
        </w:tc>
        <w:tc>
          <w:tcPr>
            <w:tcW w:type="dxa" w:w="376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DPA、PIPIA、等保、合同、保险</w:t>
            </w:r>
          </w:p>
        </w:tc>
      </w:tr>
      <w:tr>
        <w:trPr>
          <w:cantSplit/>
        </w:trPr>
        <w:tc>
          <w:tcPr>
            <w:tcW w:type="dxa" w:w="188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销售与客户成功</w:t>
            </w:r>
          </w:p>
        </w:tc>
        <w:tc>
          <w:tcPr>
            <w:tcW w:type="dxa" w:w="208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¥50—150 万</w:t>
            </w:r>
          </w:p>
        </w:tc>
        <w:tc>
          <w:tcPr>
            <w:tcW w:type="dxa" w:w="163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5%—10%</w:t>
            </w:r>
          </w:p>
        </w:tc>
        <w:tc>
          <w:tcPr>
            <w:tcW w:type="dxa" w:w="376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试点实施、差旅、活动、售前环境</w:t>
            </w:r>
          </w:p>
        </w:tc>
      </w:tr>
      <w:tr>
        <w:trPr>
          <w:cantSplit/>
        </w:trPr>
        <w:tc>
          <w:tcPr>
            <w:tcW w:type="dxa" w:w="188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预备金</w:t>
            </w:r>
          </w:p>
        </w:tc>
        <w:tc>
          <w:tcPr>
            <w:tcW w:type="dxa" w:w="208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总预算 10%</w:t>
            </w:r>
          </w:p>
        </w:tc>
        <w:tc>
          <w:tcPr>
            <w:tcW w:type="dxa" w:w="163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10%</w:t>
            </w:r>
          </w:p>
        </w:tc>
        <w:tc>
          <w:tcPr>
            <w:tcW w:type="dxa" w:w="376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私有化、数据授权和安全整改不确定性</w:t>
            </w:r>
          </w:p>
        </w:tc>
      </w:tr>
    </w:tbl>
    <w:p>
      <w:pPr>
        <w:spacing w:after="0"/>
      </w:pPr>
    </w:p>
    <w:p>
      <w:pPr>
        <w:pStyle w:val="Heading2"/>
        <w:keepNext/>
        <w:keepLines/>
      </w:pPr>
      <w:r>
        <w:rPr>
          <w:rFonts w:ascii="Calibri" w:hAnsi="Calibri" w:eastAsia="Microsoft YaHei"/>
          <w:b/>
          <w:color w:val="1F4E79"/>
          <w:sz w:val="26"/>
        </w:rPr>
        <w:t>10.3 三年收入情景</w:t>
      </w:r>
    </w:p>
    <w:p>
      <w:pPr>
        <w:pStyle w:val="Heading3"/>
        <w:keepNext/>
        <w:keepLines/>
      </w:pPr>
      <w:r>
        <w:rPr>
          <w:rFonts w:ascii="Calibri" w:hAnsi="Calibri" w:eastAsia="Microsoft YaHei"/>
          <w:b/>
          <w:color w:val="17365D"/>
          <w:sz w:val="24"/>
        </w:rPr>
        <w:t>年末 ARR 模型（规划假设）</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337"/>
        <w:gridCol w:w="1337"/>
        <w:gridCol w:w="1337"/>
        <w:gridCol w:w="1337"/>
        <w:gridCol w:w="1337"/>
        <w:gridCol w:w="1337"/>
        <w:gridCol w:w="1337"/>
      </w:tblGrid>
      <w:tr>
        <w:trPr>
          <w:cantSplit/>
          <w:tblHeader w:val="true"/>
        </w:trPr>
        <w:tc>
          <w:tcPr>
            <w:tcW w:type="dxa" w:w="100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情景</w:t>
            </w:r>
          </w:p>
        </w:tc>
        <w:tc>
          <w:tcPr>
            <w:tcW w:type="dxa" w:w="160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Y1 客户×ACV</w:t>
            </w:r>
          </w:p>
        </w:tc>
        <w:tc>
          <w:tcPr>
            <w:tcW w:type="dxa" w:w="106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Y1 ARR</w:t>
            </w:r>
          </w:p>
        </w:tc>
        <w:tc>
          <w:tcPr>
            <w:tcW w:type="dxa" w:w="160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Y2 客户×ACV</w:t>
            </w:r>
          </w:p>
        </w:tc>
        <w:tc>
          <w:tcPr>
            <w:tcW w:type="dxa" w:w="124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Y2 ARR</w:t>
            </w:r>
          </w:p>
        </w:tc>
        <w:tc>
          <w:tcPr>
            <w:tcW w:type="dxa" w:w="160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Y3 客户×ACV</w:t>
            </w:r>
          </w:p>
        </w:tc>
        <w:tc>
          <w:tcPr>
            <w:tcW w:type="dxa" w:w="124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Y3 ARR</w:t>
            </w:r>
          </w:p>
        </w:tc>
      </w:tr>
      <w:tr>
        <w:trPr>
          <w:cantSplit/>
        </w:trPr>
        <w:tc>
          <w:tcPr>
            <w:tcW w:type="dxa" w:w="100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保守</w:t>
            </w:r>
          </w:p>
        </w:tc>
        <w:tc>
          <w:tcPr>
            <w:tcW w:type="dxa" w:w="16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12×15 万</w:t>
            </w:r>
          </w:p>
        </w:tc>
        <w:tc>
          <w:tcPr>
            <w:tcW w:type="dxa" w:w="106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180 万</w:t>
            </w:r>
          </w:p>
        </w:tc>
        <w:tc>
          <w:tcPr>
            <w:tcW w:type="dxa" w:w="16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35×18 万</w:t>
            </w:r>
          </w:p>
        </w:tc>
        <w:tc>
          <w:tcPr>
            <w:tcW w:type="dxa" w:w="124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630 万</w:t>
            </w:r>
          </w:p>
        </w:tc>
        <w:tc>
          <w:tcPr>
            <w:tcW w:type="dxa" w:w="16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80×22 万</w:t>
            </w:r>
          </w:p>
        </w:tc>
        <w:tc>
          <w:tcPr>
            <w:tcW w:type="dxa" w:w="124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1,760 万</w:t>
            </w:r>
          </w:p>
        </w:tc>
      </w:tr>
      <w:tr>
        <w:trPr>
          <w:cantSplit/>
        </w:trPr>
        <w:tc>
          <w:tcPr>
            <w:tcW w:type="dxa" w:w="100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基准</w:t>
            </w:r>
          </w:p>
        </w:tc>
        <w:tc>
          <w:tcPr>
            <w:tcW w:type="dxa" w:w="16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20×18 万</w:t>
            </w:r>
          </w:p>
        </w:tc>
        <w:tc>
          <w:tcPr>
            <w:tcW w:type="dxa" w:w="106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360 万</w:t>
            </w:r>
          </w:p>
        </w:tc>
        <w:tc>
          <w:tcPr>
            <w:tcW w:type="dxa" w:w="16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60×24 万</w:t>
            </w:r>
          </w:p>
        </w:tc>
        <w:tc>
          <w:tcPr>
            <w:tcW w:type="dxa" w:w="124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1,440 万</w:t>
            </w:r>
          </w:p>
        </w:tc>
        <w:tc>
          <w:tcPr>
            <w:tcW w:type="dxa" w:w="16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150×30 万</w:t>
            </w:r>
          </w:p>
        </w:tc>
        <w:tc>
          <w:tcPr>
            <w:tcW w:type="dxa" w:w="124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4,500 万</w:t>
            </w:r>
          </w:p>
        </w:tc>
      </w:tr>
      <w:tr>
        <w:trPr>
          <w:cantSplit/>
        </w:trPr>
        <w:tc>
          <w:tcPr>
            <w:tcW w:type="dxa" w:w="100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进取</w:t>
            </w:r>
          </w:p>
        </w:tc>
        <w:tc>
          <w:tcPr>
            <w:tcW w:type="dxa" w:w="16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25×22 万</w:t>
            </w:r>
          </w:p>
        </w:tc>
        <w:tc>
          <w:tcPr>
            <w:tcW w:type="dxa" w:w="106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550 万</w:t>
            </w:r>
          </w:p>
        </w:tc>
        <w:tc>
          <w:tcPr>
            <w:tcW w:type="dxa" w:w="16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90×30 万</w:t>
            </w:r>
          </w:p>
        </w:tc>
        <w:tc>
          <w:tcPr>
            <w:tcW w:type="dxa" w:w="124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2,700 万</w:t>
            </w:r>
          </w:p>
        </w:tc>
        <w:tc>
          <w:tcPr>
            <w:tcW w:type="dxa" w:w="16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250×36 万</w:t>
            </w:r>
          </w:p>
        </w:tc>
        <w:tc>
          <w:tcPr>
            <w:tcW w:type="dxa" w:w="124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9,000 万</w:t>
            </w:r>
          </w:p>
        </w:tc>
      </w:tr>
    </w:tbl>
    <w:p>
      <w:pPr>
        <w:spacing w:after="0"/>
      </w:pPr>
    </w:p>
    <w:p>
      <w:r>
        <w:rPr>
          <w:rFonts w:ascii="Calibri" w:hAnsi="Calibri" w:eastAsia="Microsoft YaHei"/>
          <w:b w:val="0"/>
          <w:color w:val="1F2937"/>
          <w:sz w:val="22"/>
        </w:rPr>
        <w:t>客户数采用“付费机构等价数”：一份 150 万元私有化年度合同可按收入计算，但在分析产品化程度时不能被折算成多个标准客户。</w:t>
      </w:r>
    </w:p>
    <w:p>
      <w:pPr>
        <w:pStyle w:val="Heading3"/>
        <w:keepNext/>
        <w:keepLines/>
      </w:pPr>
      <w:r>
        <w:rPr>
          <w:rFonts w:ascii="Calibri" w:hAnsi="Calibri" w:eastAsia="Microsoft YaHei"/>
          <w:b/>
          <w:color w:val="17365D"/>
          <w:sz w:val="24"/>
        </w:rPr>
        <w:t>基准情景损益轮廓</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403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项目</w:t>
            </w:r>
          </w:p>
        </w:tc>
        <w:tc>
          <w:tcPr>
            <w:tcW w:type="dxa" w:w="179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Y1</w:t>
            </w:r>
          </w:p>
        </w:tc>
        <w:tc>
          <w:tcPr>
            <w:tcW w:type="dxa" w:w="179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Y2</w:t>
            </w:r>
          </w:p>
        </w:tc>
        <w:tc>
          <w:tcPr>
            <w:tcW w:type="dxa" w:w="174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Y3</w:t>
            </w:r>
          </w:p>
        </w:tc>
      </w:tr>
      <w:tr>
        <w:trPr>
          <w:cantSplit/>
        </w:trPr>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收入（考虑年内签约，非年末 ARR）</w:t>
            </w:r>
          </w:p>
        </w:tc>
        <w:tc>
          <w:tcPr>
            <w:tcW w:type="dxa" w:w="17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250 万</w:t>
            </w:r>
          </w:p>
        </w:tc>
        <w:tc>
          <w:tcPr>
            <w:tcW w:type="dxa" w:w="17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1,050 万</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3,400 万</w:t>
            </w:r>
          </w:p>
        </w:tc>
      </w:tr>
      <w:tr>
        <w:trPr>
          <w:cantSplit/>
        </w:trPr>
        <w:tc>
          <w:tcPr>
            <w:tcW w:type="dxa" w:w="4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综合毛利率目标</w:t>
            </w:r>
          </w:p>
        </w:tc>
        <w:tc>
          <w:tcPr>
            <w:tcW w:type="dxa" w:w="17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35%</w:t>
            </w:r>
          </w:p>
        </w:tc>
        <w:tc>
          <w:tcPr>
            <w:tcW w:type="dxa" w:w="17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52%</w:t>
            </w:r>
          </w:p>
        </w:tc>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65%</w:t>
            </w:r>
          </w:p>
        </w:tc>
      </w:tr>
      <w:tr>
        <w:trPr>
          <w:cantSplit/>
        </w:trPr>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毛利</w:t>
            </w:r>
          </w:p>
        </w:tc>
        <w:tc>
          <w:tcPr>
            <w:tcW w:type="dxa" w:w="17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88 万</w:t>
            </w:r>
          </w:p>
        </w:tc>
        <w:tc>
          <w:tcPr>
            <w:tcW w:type="dxa" w:w="17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546 万</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2,210 万</w:t>
            </w:r>
          </w:p>
        </w:tc>
      </w:tr>
      <w:tr>
        <w:trPr>
          <w:cantSplit/>
        </w:trPr>
        <w:tc>
          <w:tcPr>
            <w:tcW w:type="dxa" w:w="4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经营费用</w:t>
            </w:r>
          </w:p>
        </w:tc>
        <w:tc>
          <w:tcPr>
            <w:tcW w:type="dxa" w:w="17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1,100 万</w:t>
            </w:r>
          </w:p>
        </w:tc>
        <w:tc>
          <w:tcPr>
            <w:tcW w:type="dxa" w:w="179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1,700 万</w:t>
            </w:r>
          </w:p>
        </w:tc>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2,400 万</w:t>
            </w:r>
          </w:p>
        </w:tc>
      </w:tr>
      <w:tr>
        <w:trPr>
          <w:cantSplit/>
        </w:trPr>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经营结果（近似）</w:t>
            </w:r>
          </w:p>
        </w:tc>
        <w:tc>
          <w:tcPr>
            <w:tcW w:type="dxa" w:w="17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-1,012 万</w:t>
            </w:r>
          </w:p>
        </w:tc>
        <w:tc>
          <w:tcPr>
            <w:tcW w:type="dxa" w:w="179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-1,154 万</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-190 万</w:t>
            </w:r>
          </w:p>
        </w:tc>
      </w:tr>
    </w:tbl>
    <w:p>
      <w:pPr>
        <w:spacing w:after="0"/>
      </w:pPr>
    </w:p>
    <w:p>
      <w:r>
        <w:rPr>
          <w:rFonts w:ascii="Calibri" w:hAnsi="Calibri" w:eastAsia="Microsoft YaHei"/>
          <w:b w:val="0"/>
          <w:color w:val="1F2937"/>
          <w:sz w:val="22"/>
        </w:rPr>
        <w:t>该模型显示：如果客单价、交付标准化或销售速度不提升，基准情景到 Y3 仍可能接近但未达到盈亏平衡。实现 Y3 正向经营现金流至少需要以下之一：</w:t>
      </w:r>
    </w:p>
    <w:p>
      <w:pPr>
        <w:pStyle w:val="ListBullet"/>
        <w:keepLines/>
      </w:pPr>
      <w:r>
        <w:rPr>
          <w:rFonts w:ascii="Calibri" w:hAnsi="Calibri" w:eastAsia="Microsoft YaHei"/>
          <w:b w:val="0"/>
          <w:color w:val="1F2937"/>
          <w:sz w:val="22"/>
        </w:rPr>
        <w:t>Y3 收入超过约 3,700 万且毛利 65%；</w:t>
      </w:r>
    </w:p>
    <w:p>
      <w:pPr>
        <w:pStyle w:val="ListBullet"/>
        <w:keepLines/>
      </w:pPr>
      <w:r>
        <w:rPr>
          <w:rFonts w:ascii="Calibri" w:hAnsi="Calibri" w:eastAsia="Microsoft YaHei"/>
          <w:b w:val="0"/>
          <w:color w:val="1F2937"/>
          <w:sz w:val="22"/>
        </w:rPr>
        <w:t>私有化实施由标准包和伙伴交付降低成本；</w:t>
      </w:r>
    </w:p>
    <w:p>
      <w:pPr>
        <w:pStyle w:val="ListBullet"/>
        <w:keepLines/>
      </w:pPr>
      <w:r>
        <w:rPr>
          <w:rFonts w:ascii="Calibri" w:hAnsi="Calibri" w:eastAsia="Microsoft YaHei"/>
          <w:b w:val="0"/>
          <w:color w:val="1F2937"/>
          <w:sz w:val="22"/>
        </w:rPr>
        <w:t>企业 ACV 提高至 40—60 万且保持留存；</w:t>
      </w:r>
    </w:p>
    <w:p>
      <w:pPr>
        <w:pStyle w:val="ListBullet"/>
        <w:keepLines/>
      </w:pPr>
      <w:r>
        <w:rPr>
          <w:rFonts w:ascii="Calibri" w:hAnsi="Calibri" w:eastAsia="Microsoft YaHei"/>
          <w:b w:val="0"/>
          <w:color w:val="1F2937"/>
          <w:sz w:val="22"/>
        </w:rPr>
        <w:t>团队扩张晚于收入验证；</w:t>
      </w:r>
    </w:p>
    <w:p>
      <w:pPr>
        <w:pStyle w:val="ListBullet"/>
        <w:keepLines/>
      </w:pPr>
      <w:r>
        <w:rPr>
          <w:rFonts w:ascii="Calibri" w:hAnsi="Calibri" w:eastAsia="Microsoft YaHei"/>
          <w:b w:val="0"/>
          <w:color w:val="1F2937"/>
          <w:sz w:val="22"/>
        </w:rPr>
        <w:t>法律数据授权和模型成本与收入同步而非高额固定。</w:t>
      </w:r>
    </w:p>
    <w:p>
      <w:pPr>
        <w:pStyle w:val="Heading2"/>
        <w:keepNext/>
        <w:keepLines/>
      </w:pPr>
      <w:r>
        <w:rPr>
          <w:rFonts w:ascii="Calibri" w:hAnsi="Calibri" w:eastAsia="Microsoft YaHei"/>
          <w:b/>
          <w:color w:val="1F4E79"/>
          <w:sz w:val="26"/>
        </w:rPr>
        <w:t>10.4 单位经济公式</w:t>
      </w:r>
    </w:p>
    <w:p>
      <w:pPr>
        <w:spacing w:before="80" w:after="160" w:line="240" w:lineRule="auto"/>
        <w:ind w:left="259" w:right="259"/>
        <w:jc w:val="left"/>
        <w:shd w:fill="F7F8FA"/>
        <w:pBdr>
          <w:left w:val="single" w:sz="20" w:color="3B82A0"/>
        </w:pBdr>
      </w:pPr>
      <w:r>
        <w:rPr>
          <w:rFonts w:ascii="Consolas" w:hAnsi="Consolas" w:eastAsia="Consolas"/>
          <w:b/>
          <w:color w:val="3B82A0"/>
          <w:sz w:val="15"/>
        </w:rPr>
        <w:t>TEXT</w:t>
        <w:br/>
      </w:r>
      <w:r>
        <w:rPr>
          <w:rFonts w:ascii="Consolas" w:hAnsi="Consolas" w:eastAsia="Consolas"/>
          <w:color w:val="1F2937"/>
          <w:sz w:val="16"/>
        </w:rPr>
        <w:t>机构毛利 = 订阅/许可 + 容量 + 维护 + 可确认实施收入</w:t>
        <w:br/>
        <w:t xml:space="preserve">         - 模型与 OCR - 专属云 - 数据分摊 - 一线交付与支持</w:t>
        <w:br/>
        <w:br/>
        <w:t>LTV（保守） = 年度机构毛利 × 预期毛利留存年数</w:t>
        <w:br/>
        <w:br/>
        <w:t>CAC 回收月数 = 获客及售前成本 / 月度机构毛利</w:t>
        <w:br/>
        <w:br/>
        <w:t>案件贡献毛利 = 案件收入分摊 - 模型/OCR/存储 - 直接支持</w:t>
      </w:r>
    </w:p>
    <w:p>
      <w:r>
        <w:rPr>
          <w:rFonts w:ascii="Calibri" w:hAnsi="Calibri" w:eastAsia="Microsoft YaHei"/>
          <w:b w:val="0"/>
          <w:color w:val="1F2937"/>
          <w:sz w:val="22"/>
        </w:rPr>
        <w:t>每个客户和案件必须有成本账本；模型路由、重试风暴、超大文件和私有化定制是主要毛利风险。</w:t>
      </w:r>
    </w:p>
    <w:p>
      <w:pPr>
        <w:pStyle w:val="Heading2"/>
        <w:keepNext/>
        <w:keepLines/>
      </w:pPr>
      <w:r>
        <w:rPr>
          <w:rFonts w:ascii="Calibri" w:hAnsi="Calibri" w:eastAsia="Microsoft YaHei"/>
          <w:b/>
          <w:color w:val="1F4E79"/>
          <w:sz w:val="26"/>
        </w:rPr>
        <w:t>10.5 资本使用纪律</w:t>
      </w:r>
    </w:p>
    <w:p>
      <w:pPr>
        <w:pStyle w:val="ListBullet"/>
        <w:keepLines/>
      </w:pPr>
      <w:r>
        <w:rPr>
          <w:rFonts w:ascii="Calibri" w:hAnsi="Calibri" w:eastAsia="Microsoft YaHei"/>
          <w:b w:val="0"/>
          <w:color w:val="1F2937"/>
          <w:sz w:val="22"/>
        </w:rPr>
        <w:t>不在 10 个真实案件完成前自研基础模型；</w:t>
      </w:r>
    </w:p>
    <w:p>
      <w:pPr>
        <w:pStyle w:val="ListBullet"/>
        <w:keepLines/>
      </w:pPr>
      <w:r>
        <w:rPr>
          <w:rFonts w:ascii="Calibri" w:hAnsi="Calibri" w:eastAsia="Microsoft YaHei"/>
          <w:b w:val="0"/>
          <w:color w:val="1F2937"/>
          <w:sz w:val="22"/>
        </w:rPr>
        <w:t>不在 3 家年度付费前建设第二案由；</w:t>
      </w:r>
    </w:p>
    <w:p>
      <w:pPr>
        <w:pStyle w:val="ListBullet"/>
        <w:keepLines/>
      </w:pPr>
      <w:r>
        <w:rPr>
          <w:rFonts w:ascii="Calibri" w:hAnsi="Calibri" w:eastAsia="Microsoft YaHei"/>
          <w:b w:val="0"/>
          <w:color w:val="1F2937"/>
          <w:sz w:val="22"/>
        </w:rPr>
        <w:t>不为单一客户修改核心权限模型；</w:t>
      </w:r>
    </w:p>
    <w:p>
      <w:pPr>
        <w:pStyle w:val="ListBullet"/>
        <w:keepLines/>
      </w:pPr>
      <w:r>
        <w:rPr>
          <w:rFonts w:ascii="Calibri" w:hAnsi="Calibri" w:eastAsia="Microsoft YaHei"/>
          <w:b w:val="0"/>
          <w:color w:val="1F2937"/>
          <w:sz w:val="22"/>
        </w:rPr>
        <w:t>单客户定制若不能进入配置/插件/通用接口，必须单独报价并经架构委员会批准；</w:t>
      </w:r>
    </w:p>
    <w:p>
      <w:pPr>
        <w:pStyle w:val="ListBullet"/>
        <w:keepLines/>
      </w:pPr>
      <w:r>
        <w:rPr>
          <w:rFonts w:ascii="Calibri" w:hAnsi="Calibri" w:eastAsia="Microsoft YaHei"/>
          <w:b w:val="0"/>
          <w:color w:val="1F2937"/>
          <w:sz w:val="22"/>
        </w:rPr>
        <w:t>每季度基于 ARR、净工时、质量、毛利和销售周期决定招聘；</w:t>
      </w:r>
    </w:p>
    <w:p>
      <w:pPr>
        <w:pStyle w:val="ListBullet"/>
        <w:keepLines/>
      </w:pPr>
      <w:r>
        <w:rPr>
          <w:rFonts w:ascii="Calibri" w:hAnsi="Calibri" w:eastAsia="Microsoft YaHei"/>
          <w:b w:val="0"/>
          <w:color w:val="1F2937"/>
          <w:sz w:val="22"/>
        </w:rPr>
        <w:t>将至少 15% 工程容量长期用于安全、评测、依赖升级和技术债。</w:t>
      </w:r>
    </w:p>
    <w:p>
      <w:pPr>
        <w:pStyle w:val="Heading1"/>
        <w:keepNext/>
        <w:keepLines/>
      </w:pPr>
      <w:r>
        <w:rPr>
          <w:rFonts w:ascii="Calibri" w:hAnsi="Calibri" w:eastAsia="Microsoft YaHei"/>
          <w:b/>
          <w:color w:val="1F4E79"/>
          <w:sz w:val="32"/>
        </w:rPr>
        <w:t>十一、0—18 个月产品与公司路线图</w:t>
      </w:r>
    </w:p>
    <w:p>
      <w:pPr>
        <w:pStyle w:val="Heading2"/>
        <w:keepNext/>
        <w:keepLines/>
      </w:pPr>
      <w:r>
        <w:rPr>
          <w:rFonts w:ascii="Calibri" w:hAnsi="Calibri" w:eastAsia="Microsoft YaHei"/>
          <w:b/>
          <w:color w:val="1F4E79"/>
          <w:sz w:val="26"/>
        </w:rPr>
        <w:t>11.1 阶段总览</w:t>
      </w:r>
    </w:p>
    <w:p>
      <w:pPr>
        <w:spacing w:after="160"/>
        <w:jc w:val="center"/>
      </w:pPr>
      <w:r>
        <w:drawing>
          <wp:inline xmlns:a="http://schemas.openxmlformats.org/drawingml/2006/main" xmlns:pic="http://schemas.openxmlformats.org/drawingml/2006/picture">
            <wp:extent cx="5897880" cy="2785110"/>
            <wp:docPr id="3" name="Picture 3"/>
            <wp:cNvGraphicFramePr>
              <a:graphicFrameLocks noChangeAspect="1"/>
            </wp:cNvGraphicFramePr>
            <a:graphic>
              <a:graphicData uri="http://schemas.openxmlformats.org/drawingml/2006/picture">
                <pic:pic>
                  <pic:nvPicPr>
                    <pic:cNvPr id="0" name="roadmap.png"/>
                    <pic:cNvPicPr/>
                  </pic:nvPicPr>
                  <pic:blipFill>
                    <a:blip r:embed="rId45"/>
                    <a:stretch>
                      <a:fillRect/>
                    </a:stretch>
                  </pic:blipFill>
                  <pic:spPr>
                    <a:xfrm>
                      <a:off x="0" y="0"/>
                      <a:ext cx="5897880" cy="2785110"/>
                    </a:xfrm>
                    <a:prstGeom prst="rect"/>
                  </pic:spPr>
                </pic:pic>
              </a:graphicData>
            </a:graphic>
          </wp:inline>
        </w:drawing>
      </w:r>
    </w:p>
    <w:p>
      <w:pPr>
        <w:pStyle w:val="Heading2"/>
        <w:keepNext/>
        <w:keepLines/>
      </w:pPr>
      <w:r>
        <w:rPr>
          <w:rFonts w:ascii="Calibri" w:hAnsi="Calibri" w:eastAsia="Microsoft YaHei"/>
          <w:b/>
          <w:color w:val="1F4E79"/>
          <w:sz w:val="26"/>
        </w:rPr>
        <w:t>11.2 阶段 0：立项验证（第 0—6 周）</w:t>
      </w:r>
    </w:p>
    <w:p>
      <w:pPr>
        <w:pStyle w:val="Heading3"/>
        <w:keepNext/>
        <w:keepLines/>
      </w:pPr>
      <w:r>
        <w:rPr>
          <w:rFonts w:ascii="Calibri" w:hAnsi="Calibri" w:eastAsia="Microsoft YaHei"/>
          <w:b/>
          <w:color w:val="17365D"/>
          <w:sz w:val="24"/>
        </w:rPr>
        <w:t>目标</w:t>
      </w:r>
    </w:p>
    <w:p>
      <w:r>
        <w:rPr>
          <w:rFonts w:ascii="Calibri" w:hAnsi="Calibri" w:eastAsia="Microsoft YaHei"/>
          <w:b w:val="0"/>
          <w:color w:val="1F2937"/>
          <w:sz w:val="22"/>
        </w:rPr>
        <w:t>证明场景、数据和采购路径存在，冻结安全底线与 MVP 范围。</w:t>
      </w:r>
    </w:p>
    <w:p>
      <w:pPr>
        <w:pStyle w:val="Heading3"/>
        <w:keepNext/>
        <w:keepLines/>
      </w:pPr>
      <w:r>
        <w:rPr>
          <w:rFonts w:ascii="Calibri" w:hAnsi="Calibri" w:eastAsia="Microsoft YaHei"/>
          <w:b/>
          <w:color w:val="17365D"/>
          <w:sz w:val="24"/>
        </w:rPr>
        <w:t>工作</w:t>
      </w:r>
    </w:p>
    <w:p>
      <w:r>
        <w:rPr>
          <w:rFonts w:ascii="Calibri" w:hAnsi="Calibri" w:eastAsia="Microsoft YaHei"/>
          <w:b/>
          <w:color w:val="1F2937"/>
          <w:sz w:val="22"/>
        </w:rPr>
        <w:t>客户与产品</w:t>
      </w:r>
    </w:p>
    <w:p>
      <w:pPr>
        <w:pStyle w:val="ListBullet"/>
        <w:keepLines/>
      </w:pPr>
      <w:r>
        <w:rPr>
          <w:rFonts w:ascii="Calibri" w:hAnsi="Calibri" w:eastAsia="Microsoft YaHei"/>
          <w:b w:val="0"/>
          <w:color w:val="1F2937"/>
          <w:sz w:val="22"/>
        </w:rPr>
        <w:t>40 次结构化访谈；跟岗观察 8 个案件梳理过程；</w:t>
      </w:r>
    </w:p>
    <w:p>
      <w:pPr>
        <w:pStyle w:val="ListBullet"/>
        <w:keepLines/>
      </w:pPr>
      <w:r>
        <w:rPr>
          <w:rFonts w:ascii="Calibri" w:hAnsi="Calibri" w:eastAsia="Microsoft YaHei"/>
          <w:b w:val="0"/>
          <w:color w:val="1F2937"/>
          <w:sz w:val="22"/>
        </w:rPr>
        <w:t>量化材料量、角色、步骤、工具、基线工时和常见漏项；</w:t>
      </w:r>
    </w:p>
    <w:p>
      <w:pPr>
        <w:pStyle w:val="ListBullet"/>
        <w:keepLines/>
      </w:pPr>
      <w:r>
        <w:rPr>
          <w:rFonts w:ascii="Calibri" w:hAnsi="Calibri" w:eastAsia="Microsoft YaHei"/>
          <w:b w:val="0"/>
          <w:color w:val="1F2937"/>
          <w:sz w:val="22"/>
        </w:rPr>
        <w:t>选定商业合同争议 3 个子场景；</w:t>
      </w:r>
    </w:p>
    <w:p>
      <w:pPr>
        <w:pStyle w:val="ListBullet"/>
        <w:keepLines/>
      </w:pPr>
      <w:r>
        <w:rPr>
          <w:rFonts w:ascii="Calibri" w:hAnsi="Calibri" w:eastAsia="Microsoft YaHei"/>
          <w:b w:val="0"/>
          <w:color w:val="1F2937"/>
          <w:sz w:val="22"/>
        </w:rPr>
        <w:t>画出当前/目标服务蓝图并获得 5 位合伙人确认。</w:t>
      </w:r>
    </w:p>
    <w:p>
      <w:r>
        <w:rPr>
          <w:rFonts w:ascii="Calibri" w:hAnsi="Calibri" w:eastAsia="Microsoft YaHei"/>
          <w:b/>
          <w:color w:val="1F2937"/>
          <w:sz w:val="22"/>
        </w:rPr>
        <w:t>法律与数据</w:t>
      </w:r>
    </w:p>
    <w:p>
      <w:pPr>
        <w:pStyle w:val="ListBullet"/>
        <w:keepLines/>
      </w:pPr>
      <w:r>
        <w:rPr>
          <w:rFonts w:ascii="Calibri" w:hAnsi="Calibri" w:eastAsia="Microsoft YaHei"/>
          <w:b w:val="0"/>
          <w:color w:val="1F2937"/>
          <w:sz w:val="22"/>
        </w:rPr>
        <w:t>出具产品适用范围、执业边界、生成式服务、标识、ICP/算法备案初步专项意见；</w:t>
      </w:r>
    </w:p>
    <w:p>
      <w:pPr>
        <w:pStyle w:val="ListBullet"/>
        <w:keepLines/>
      </w:pPr>
      <w:r>
        <w:rPr>
          <w:rFonts w:ascii="Calibri" w:hAnsi="Calibri" w:eastAsia="Microsoft YaHei"/>
          <w:b w:val="0"/>
          <w:color w:val="1F2937"/>
          <w:sz w:val="22"/>
        </w:rPr>
        <w:t>建立数据分类分级、案件排除清单和客户授权模板；</w:t>
      </w:r>
    </w:p>
    <w:p>
      <w:pPr>
        <w:pStyle w:val="ListBullet"/>
        <w:keepLines/>
      </w:pPr>
      <w:r>
        <w:rPr>
          <w:rFonts w:ascii="Calibri" w:hAnsi="Calibri" w:eastAsia="Microsoft YaHei"/>
          <w:b w:val="0"/>
          <w:color w:val="1F2937"/>
          <w:sz w:val="22"/>
        </w:rPr>
        <w:t>与至少 3 家法律数据供应商谈授权/API/验证器；</w:t>
      </w:r>
    </w:p>
    <w:p>
      <w:pPr>
        <w:pStyle w:val="ListBullet"/>
        <w:keepLines/>
      </w:pPr>
      <w:r>
        <w:rPr>
          <w:rFonts w:ascii="Calibri" w:hAnsi="Calibri" w:eastAsia="Microsoft YaHei"/>
          <w:b w:val="0"/>
          <w:color w:val="1F2937"/>
          <w:sz w:val="22"/>
        </w:rPr>
        <w:t>取得首批评测样本授权。</w:t>
      </w:r>
    </w:p>
    <w:p>
      <w:r>
        <w:rPr>
          <w:rFonts w:ascii="Calibri" w:hAnsi="Calibri" w:eastAsia="Microsoft YaHei"/>
          <w:b/>
          <w:color w:val="1F2937"/>
          <w:sz w:val="22"/>
        </w:rPr>
        <w:t>技术与安全</w:t>
      </w:r>
    </w:p>
    <w:p>
      <w:pPr>
        <w:pStyle w:val="ListBullet"/>
        <w:keepLines/>
      </w:pPr>
      <w:r>
        <w:rPr>
          <w:rFonts w:ascii="Calibri" w:hAnsi="Calibri" w:eastAsia="Microsoft YaHei"/>
          <w:b w:val="0"/>
          <w:color w:val="1F2937"/>
          <w:sz w:val="22"/>
        </w:rPr>
        <w:t>将 Hermes 可复用组件抽出边界；</w:t>
      </w:r>
    </w:p>
    <w:p>
      <w:pPr>
        <w:pStyle w:val="ListBullet"/>
        <w:keepLines/>
      </w:pPr>
      <w:r>
        <w:rPr>
          <w:rFonts w:ascii="Calibri" w:hAnsi="Calibri" w:eastAsia="Microsoft YaHei"/>
          <w:b w:val="0"/>
          <w:color w:val="1F2937"/>
          <w:sz w:val="22"/>
        </w:rPr>
        <w:t>建立威胁模型、租户/案件权限模型和模型路由政策；</w:t>
      </w:r>
    </w:p>
    <w:p>
      <w:pPr>
        <w:pStyle w:val="ListBullet"/>
        <w:keepLines/>
      </w:pPr>
      <w:r>
        <w:rPr>
          <w:rFonts w:ascii="Calibri" w:hAnsi="Calibri" w:eastAsia="Microsoft YaHei"/>
          <w:b w:val="0"/>
          <w:color w:val="1F2937"/>
          <w:sz w:val="22"/>
        </w:rPr>
        <w:t>禁用生产 YOLO、通用终端和未审核插件的技术方案；</w:t>
      </w:r>
    </w:p>
    <w:p>
      <w:pPr>
        <w:pStyle w:val="ListBullet"/>
        <w:keepLines/>
      </w:pPr>
      <w:r>
        <w:rPr>
          <w:rFonts w:ascii="Calibri" w:hAnsi="Calibri" w:eastAsia="Microsoft YaHei"/>
          <w:b w:val="0"/>
          <w:color w:val="1F2937"/>
          <w:sz w:val="22"/>
        </w:rPr>
        <w:t>完成证据对象、事实、要件、Claim 和审计事件数据模型。</w:t>
      </w:r>
    </w:p>
    <w:p>
      <w:pPr>
        <w:pStyle w:val="Heading3"/>
        <w:keepNext/>
        <w:keepLines/>
      </w:pPr>
      <w:r>
        <w:rPr>
          <w:rFonts w:ascii="Calibri" w:hAnsi="Calibri" w:eastAsia="Microsoft YaHei"/>
          <w:b/>
          <w:color w:val="17365D"/>
          <w:sz w:val="24"/>
        </w:rPr>
        <w:t>Go/No-Go</w:t>
      </w:r>
    </w:p>
    <w:p>
      <w:r>
        <w:rPr>
          <w:rFonts w:ascii="Calibri" w:hAnsi="Calibri" w:eastAsia="Microsoft YaHei"/>
          <w:b w:val="0"/>
          <w:color w:val="1F2937"/>
          <w:sz w:val="22"/>
        </w:rPr>
        <w:t>满足以下全部条件才进入 Alpha：</w:t>
      </w:r>
    </w:p>
    <w:p>
      <w:pPr>
        <w:pStyle w:val="ListBullet"/>
        <w:keepLines/>
      </w:pPr>
      <w:r>
        <w:rPr>
          <w:rFonts w:ascii="Calibri" w:hAnsi="Calibri" w:eastAsia="Microsoft YaHei"/>
          <w:b w:val="0"/>
          <w:color w:val="1F2937"/>
          <w:sz w:val="22"/>
        </w:rPr>
        <w:t>至少 5 家设计伙伴，其中 3 家接受付费试点原则；</w:t>
      </w:r>
    </w:p>
    <w:p>
      <w:pPr>
        <w:pStyle w:val="ListBullet"/>
        <w:keepLines/>
      </w:pPr>
      <w:r>
        <w:rPr>
          <w:rFonts w:ascii="Calibri" w:hAnsi="Calibri" w:eastAsia="Microsoft YaHei"/>
          <w:b w:val="0"/>
          <w:color w:val="1F2937"/>
          <w:sz w:val="22"/>
        </w:rPr>
        <w:t>至少 20 个代表案件样本可合法用于受控开发/评测；</w:t>
      </w:r>
    </w:p>
    <w:p>
      <w:pPr>
        <w:pStyle w:val="ListBullet"/>
        <w:keepLines/>
      </w:pPr>
      <w:r>
        <w:rPr>
          <w:rFonts w:ascii="Calibri" w:hAnsi="Calibri" w:eastAsia="Microsoft YaHei"/>
          <w:b w:val="0"/>
          <w:color w:val="1F2937"/>
          <w:sz w:val="22"/>
        </w:rPr>
        <w:t>核心法源存在可行授权路径；</w:t>
      </w:r>
    </w:p>
    <w:p>
      <w:pPr>
        <w:pStyle w:val="ListBullet"/>
        <w:keepLines/>
      </w:pPr>
      <w:r>
        <w:rPr>
          <w:rFonts w:ascii="Calibri" w:hAnsi="Calibri" w:eastAsia="Microsoft YaHei"/>
          <w:b w:val="0"/>
          <w:color w:val="1F2937"/>
          <w:sz w:val="22"/>
        </w:rPr>
        <w:t>目标场景基线中，材料梳理/检索/初稿至少占 30% 工时；</w:t>
      </w:r>
    </w:p>
    <w:p>
      <w:pPr>
        <w:pStyle w:val="ListBullet"/>
        <w:keepLines/>
      </w:pPr>
      <w:r>
        <w:rPr>
          <w:rFonts w:ascii="Calibri" w:hAnsi="Calibri" w:eastAsia="Microsoft YaHei"/>
          <w:b w:val="0"/>
          <w:color w:val="1F2937"/>
          <w:sz w:val="22"/>
        </w:rPr>
        <w:t>未发现使 B2B 受限模式不可行的监管或客户数据障碍。</w:t>
      </w:r>
    </w:p>
    <w:p>
      <w:pPr>
        <w:pStyle w:val="Heading2"/>
        <w:keepNext/>
        <w:keepLines/>
      </w:pPr>
      <w:r>
        <w:rPr>
          <w:rFonts w:ascii="Calibri" w:hAnsi="Calibri" w:eastAsia="Microsoft YaHei"/>
          <w:b/>
          <w:color w:val="1F4E79"/>
          <w:sz w:val="26"/>
        </w:rPr>
        <w:t>11.3 阶段 1：安全 Alpha（第 7—16 周）</w:t>
      </w:r>
    </w:p>
    <w:p>
      <w:pPr>
        <w:pStyle w:val="Heading3"/>
        <w:keepNext/>
        <w:keepLines/>
      </w:pPr>
      <w:r>
        <w:rPr>
          <w:rFonts w:ascii="Calibri" w:hAnsi="Calibri" w:eastAsia="Microsoft YaHei"/>
          <w:b/>
          <w:color w:val="17365D"/>
          <w:sz w:val="24"/>
        </w:rPr>
        <w:t>必交能力</w:t>
      </w:r>
    </w:p>
    <w:p>
      <w:pPr>
        <w:pStyle w:val="ListBullet"/>
        <w:keepLines/>
      </w:pPr>
      <w:r>
        <w:rPr>
          <w:rFonts w:ascii="Calibri" w:hAnsi="Calibri" w:eastAsia="Microsoft YaHei"/>
          <w:b w:val="0"/>
          <w:color w:val="1F2937"/>
          <w:sz w:val="22"/>
        </w:rPr>
        <w:t>机构/案件/用户/角色和强制案件作用域；</w:t>
      </w:r>
    </w:p>
    <w:p>
      <w:pPr>
        <w:pStyle w:val="ListBullet"/>
        <w:keepLines/>
      </w:pPr>
      <w:r>
        <w:rPr>
          <w:rFonts w:ascii="Calibri" w:hAnsi="Calibri" w:eastAsia="Microsoft YaHei"/>
          <w:b w:val="0"/>
          <w:color w:val="1F2937"/>
          <w:sz w:val="22"/>
        </w:rPr>
        <w:t>原件哈希、隔离、OCR、页码坐标和文档清单；</w:t>
      </w:r>
    </w:p>
    <w:p>
      <w:pPr>
        <w:pStyle w:val="ListBullet"/>
        <w:keepLines/>
      </w:pPr>
      <w:r>
        <w:rPr>
          <w:rFonts w:ascii="Calibri" w:hAnsi="Calibri" w:eastAsia="Microsoft YaHei"/>
          <w:b w:val="0"/>
          <w:color w:val="1F2937"/>
          <w:sz w:val="22"/>
        </w:rPr>
        <w:t>实体、事实时间线、证据关系与人工确认；</w:t>
      </w:r>
    </w:p>
    <w:p>
      <w:pPr>
        <w:pStyle w:val="ListBullet"/>
        <w:keepLines/>
      </w:pPr>
      <w:r>
        <w:rPr>
          <w:rFonts w:ascii="Calibri" w:hAnsi="Calibri" w:eastAsia="Microsoft YaHei"/>
          <w:b w:val="0"/>
          <w:color w:val="1F2937"/>
          <w:sz w:val="22"/>
        </w:rPr>
        <w:t>案件内来源问答；</w:t>
      </w:r>
    </w:p>
    <w:p>
      <w:pPr>
        <w:pStyle w:val="ListBullet"/>
        <w:keepLines/>
      </w:pPr>
      <w:r>
        <w:rPr>
          <w:rFonts w:ascii="Calibri" w:hAnsi="Calibri" w:eastAsia="Microsoft YaHei"/>
          <w:b w:val="0"/>
          <w:color w:val="1F2937"/>
          <w:sz w:val="22"/>
        </w:rPr>
        <w:t>模型网关、境内模型、调用审计和预算；</w:t>
      </w:r>
    </w:p>
    <w:p>
      <w:pPr>
        <w:pStyle w:val="ListBullet"/>
        <w:keepLines/>
      </w:pPr>
      <w:r>
        <w:rPr>
          <w:rFonts w:ascii="Calibri" w:hAnsi="Calibri" w:eastAsia="Microsoft YaHei"/>
          <w:b w:val="0"/>
          <w:color w:val="1F2937"/>
          <w:sz w:val="22"/>
        </w:rPr>
        <w:t>桌面三栏原型；</w:t>
      </w:r>
    </w:p>
    <w:p>
      <w:pPr>
        <w:pStyle w:val="ListBullet"/>
        <w:keepLines/>
      </w:pPr>
      <w:r>
        <w:rPr>
          <w:rFonts w:ascii="Calibri" w:hAnsi="Calibri" w:eastAsia="Microsoft YaHei"/>
          <w:b w:val="0"/>
          <w:color w:val="1F2937"/>
          <w:sz w:val="22"/>
        </w:rPr>
        <w:t>50 案初版金标评测；</w:t>
      </w:r>
    </w:p>
    <w:p>
      <w:pPr>
        <w:pStyle w:val="ListBullet"/>
        <w:keepLines/>
      </w:pPr>
      <w:r>
        <w:rPr>
          <w:rFonts w:ascii="Calibri" w:hAnsi="Calibri" w:eastAsia="Microsoft YaHei"/>
          <w:b w:val="0"/>
          <w:color w:val="1F2937"/>
          <w:sz w:val="22"/>
        </w:rPr>
        <w:t>跨租户、越权、提示注入和恶意文件红队。</w:t>
      </w:r>
    </w:p>
    <w:p>
      <w:pPr>
        <w:pStyle w:val="Heading3"/>
        <w:keepNext/>
        <w:keepLines/>
      </w:pPr>
      <w:r>
        <w:rPr>
          <w:rFonts w:ascii="Calibri" w:hAnsi="Calibri" w:eastAsia="Microsoft YaHei"/>
          <w:b/>
          <w:color w:val="17365D"/>
          <w:sz w:val="24"/>
        </w:rPr>
        <w:t>不做</w:t>
      </w:r>
    </w:p>
    <w:p>
      <w:pPr>
        <w:pStyle w:val="ListBullet"/>
        <w:keepLines/>
      </w:pPr>
      <w:r>
        <w:rPr>
          <w:rFonts w:ascii="Calibri" w:hAnsi="Calibri" w:eastAsia="Microsoft YaHei"/>
          <w:b w:val="0"/>
          <w:color w:val="1F2937"/>
          <w:sz w:val="22"/>
        </w:rPr>
        <w:t>不自动外发；</w:t>
      </w:r>
    </w:p>
    <w:p>
      <w:pPr>
        <w:pStyle w:val="ListBullet"/>
        <w:keepLines/>
      </w:pPr>
      <w:r>
        <w:rPr>
          <w:rFonts w:ascii="Calibri" w:hAnsi="Calibri" w:eastAsia="Microsoft YaHei"/>
          <w:b w:val="0"/>
          <w:color w:val="1F2937"/>
          <w:sz w:val="22"/>
        </w:rPr>
        <w:t>不提供公众账号；</w:t>
      </w:r>
    </w:p>
    <w:p>
      <w:pPr>
        <w:pStyle w:val="ListBullet"/>
        <w:keepLines/>
      </w:pPr>
      <w:r>
        <w:rPr>
          <w:rFonts w:ascii="Calibri" w:hAnsi="Calibri" w:eastAsia="Microsoft YaHei"/>
          <w:b w:val="0"/>
          <w:color w:val="1F2937"/>
          <w:sz w:val="22"/>
        </w:rPr>
        <w:t>不接国家秘密/刑事/家事未成年人案件；</w:t>
      </w:r>
    </w:p>
    <w:p>
      <w:pPr>
        <w:pStyle w:val="ListBullet"/>
        <w:keepLines/>
      </w:pPr>
      <w:r>
        <w:rPr>
          <w:rFonts w:ascii="Calibri" w:hAnsi="Calibri" w:eastAsia="Microsoft YaHei"/>
          <w:b w:val="0"/>
          <w:color w:val="1F2937"/>
          <w:sz w:val="22"/>
        </w:rPr>
        <w:t>不开放用户插件、任意网页或 Shell；</w:t>
      </w:r>
    </w:p>
    <w:p>
      <w:pPr>
        <w:pStyle w:val="ListBullet"/>
        <w:keepLines/>
      </w:pPr>
      <w:r>
        <w:rPr>
          <w:rFonts w:ascii="Calibri" w:hAnsi="Calibri" w:eastAsia="Microsoft YaHei"/>
          <w:b w:val="0"/>
          <w:color w:val="1F2937"/>
          <w:sz w:val="22"/>
        </w:rPr>
        <w:t>不做自助注册和大规模营销。</w:t>
      </w:r>
    </w:p>
    <w:p>
      <w:pPr>
        <w:pStyle w:val="Heading3"/>
        <w:keepNext/>
        <w:keepLines/>
      </w:pPr>
      <w:r>
        <w:rPr>
          <w:rFonts w:ascii="Calibri" w:hAnsi="Calibri" w:eastAsia="Microsoft YaHei"/>
          <w:b/>
          <w:color w:val="17365D"/>
          <w:sz w:val="24"/>
        </w:rPr>
        <w:t>门禁</w:t>
      </w:r>
    </w:p>
    <w:p>
      <w:pPr>
        <w:pStyle w:val="ListBullet"/>
        <w:keepLines/>
      </w:pPr>
      <w:r>
        <w:rPr>
          <w:rFonts w:ascii="Calibri" w:hAnsi="Calibri" w:eastAsia="Microsoft YaHei"/>
          <w:b w:val="0"/>
          <w:color w:val="1F2937"/>
          <w:sz w:val="22"/>
        </w:rPr>
        <w:t>跨案件/租户泄露测试为零；</w:t>
      </w:r>
    </w:p>
    <w:p>
      <w:pPr>
        <w:pStyle w:val="ListBullet"/>
        <w:keepLines/>
      </w:pPr>
      <w:r>
        <w:rPr>
          <w:rFonts w:ascii="Calibri" w:hAnsi="Calibri" w:eastAsia="Microsoft YaHei"/>
          <w:b w:val="0"/>
          <w:color w:val="1F2937"/>
          <w:sz w:val="22"/>
        </w:rPr>
        <w:t>原件哈希和页数一致性 100%；</w:t>
      </w:r>
    </w:p>
    <w:p>
      <w:pPr>
        <w:pStyle w:val="ListBullet"/>
        <w:keepLines/>
      </w:pPr>
      <w:r>
        <w:rPr>
          <w:rFonts w:ascii="Calibri" w:hAnsi="Calibri" w:eastAsia="Microsoft YaHei"/>
          <w:b w:val="0"/>
          <w:color w:val="1F2937"/>
          <w:sz w:val="22"/>
        </w:rPr>
        <w:t>关键事实来源覆盖 100%；</w:t>
      </w:r>
    </w:p>
    <w:p>
      <w:pPr>
        <w:pStyle w:val="ListBullet"/>
        <w:keepLines/>
      </w:pPr>
      <w:r>
        <w:rPr>
          <w:rFonts w:ascii="Calibri" w:hAnsi="Calibri" w:eastAsia="Microsoft YaHei"/>
          <w:b w:val="0"/>
          <w:color w:val="1F2937"/>
          <w:sz w:val="22"/>
        </w:rPr>
        <w:t>律师可在 30 分钟内学会校对时间线；</w:t>
      </w:r>
    </w:p>
    <w:p>
      <w:pPr>
        <w:pStyle w:val="ListBullet"/>
        <w:keepLines/>
      </w:pPr>
      <w:r>
        <w:rPr>
          <w:rFonts w:ascii="Calibri" w:hAnsi="Calibri" w:eastAsia="Microsoft YaHei"/>
          <w:b w:val="0"/>
          <w:color w:val="1F2937"/>
          <w:sz w:val="22"/>
        </w:rPr>
        <w:t>5 个案件全流程完成且没有高严重度安全事件。</w:t>
      </w:r>
    </w:p>
    <w:p>
      <w:pPr>
        <w:pStyle w:val="Heading2"/>
        <w:keepNext/>
        <w:keepLines/>
      </w:pPr>
      <w:r>
        <w:rPr>
          <w:rFonts w:ascii="Calibri" w:hAnsi="Calibri" w:eastAsia="Microsoft YaHei"/>
          <w:b/>
          <w:color w:val="1F4E79"/>
          <w:sz w:val="26"/>
        </w:rPr>
        <w:t>11.4 阶段 2：付费闭门试点（第 4—6 月）</w:t>
      </w:r>
    </w:p>
    <w:p>
      <w:pPr>
        <w:pStyle w:val="Heading3"/>
        <w:keepNext/>
        <w:keepLines/>
      </w:pPr>
      <w:r>
        <w:rPr>
          <w:rFonts w:ascii="Calibri" w:hAnsi="Calibri" w:eastAsia="Microsoft YaHei"/>
          <w:b/>
          <w:color w:val="17365D"/>
          <w:sz w:val="24"/>
        </w:rPr>
        <w:t>增加能力</w:t>
      </w:r>
    </w:p>
    <w:p>
      <w:pPr>
        <w:pStyle w:val="ListBullet"/>
        <w:keepLines/>
      </w:pPr>
      <w:r>
        <w:rPr>
          <w:rFonts w:ascii="Calibri" w:hAnsi="Calibri" w:eastAsia="Microsoft YaHei"/>
          <w:b w:val="0"/>
          <w:color w:val="1F2937"/>
          <w:sz w:val="22"/>
        </w:rPr>
        <w:t>要件—事实—证据矩阵；</w:t>
      </w:r>
    </w:p>
    <w:p>
      <w:pPr>
        <w:pStyle w:val="ListBullet"/>
        <w:keepLines/>
      </w:pPr>
      <w:r>
        <w:rPr>
          <w:rFonts w:ascii="Calibri" w:hAnsi="Calibri" w:eastAsia="Microsoft YaHei"/>
          <w:b w:val="0"/>
          <w:color w:val="1F2937"/>
          <w:sz w:val="22"/>
        </w:rPr>
        <w:t>法源时点与引证验证；</w:t>
      </w:r>
    </w:p>
    <w:p>
      <w:pPr>
        <w:pStyle w:val="ListBullet"/>
        <w:keepLines/>
      </w:pPr>
      <w:r>
        <w:rPr>
          <w:rFonts w:ascii="Calibri" w:hAnsi="Calibri" w:eastAsia="Microsoft YaHei"/>
          <w:b w:val="0"/>
          <w:color w:val="1F2937"/>
          <w:sz w:val="22"/>
        </w:rPr>
        <w:t>对抗分析和待审初稿；</w:t>
      </w:r>
    </w:p>
    <w:p>
      <w:pPr>
        <w:pStyle w:val="ListBullet"/>
        <w:keepLines/>
      </w:pPr>
      <w:r>
        <w:rPr>
          <w:rFonts w:ascii="Calibri" w:hAnsi="Calibri" w:eastAsia="Microsoft YaHei"/>
          <w:b w:val="0"/>
          <w:color w:val="1F2937"/>
          <w:sz w:val="22"/>
        </w:rPr>
        <w:t>审批、版本、Word 导出和导出清单；</w:t>
      </w:r>
    </w:p>
    <w:p>
      <w:pPr>
        <w:pStyle w:val="ListBullet"/>
        <w:keepLines/>
      </w:pPr>
      <w:r>
        <w:rPr>
          <w:rFonts w:ascii="Calibri" w:hAnsi="Calibri" w:eastAsia="Microsoft YaHei"/>
          <w:b w:val="0"/>
          <w:color w:val="1F2937"/>
          <w:sz w:val="22"/>
        </w:rPr>
        <w:t>客户专属模型/数据策略；</w:t>
      </w:r>
    </w:p>
    <w:p>
      <w:pPr>
        <w:pStyle w:val="ListBullet"/>
        <w:keepLines/>
      </w:pPr>
      <w:r>
        <w:rPr>
          <w:rFonts w:ascii="Calibri" w:hAnsi="Calibri" w:eastAsia="Microsoft YaHei"/>
          <w:b w:val="0"/>
          <w:color w:val="1F2937"/>
          <w:sz w:val="22"/>
        </w:rPr>
        <w:t>试点价值仪表盘。</w:t>
      </w:r>
    </w:p>
    <w:p>
      <w:pPr>
        <w:pStyle w:val="Heading3"/>
        <w:keepNext/>
        <w:keepLines/>
      </w:pPr>
      <w:r>
        <w:rPr>
          <w:rFonts w:ascii="Calibri" w:hAnsi="Calibri" w:eastAsia="Microsoft YaHei"/>
          <w:b/>
          <w:color w:val="17365D"/>
          <w:sz w:val="24"/>
        </w:rPr>
        <w:t>商业目标</w:t>
      </w:r>
    </w:p>
    <w:p>
      <w:pPr>
        <w:pStyle w:val="ListBullet"/>
        <w:keepLines/>
      </w:pPr>
      <w:r>
        <w:rPr>
          <w:rFonts w:ascii="Calibri" w:hAnsi="Calibri" w:eastAsia="Microsoft YaHei"/>
          <w:b w:val="0"/>
          <w:color w:val="1F2937"/>
          <w:sz w:val="22"/>
        </w:rPr>
        <w:t>5—8 家付费试点；</w:t>
      </w:r>
    </w:p>
    <w:p>
      <w:pPr>
        <w:pStyle w:val="ListBullet"/>
        <w:keepLines/>
      </w:pPr>
      <w:r>
        <w:rPr>
          <w:rFonts w:ascii="Calibri" w:hAnsi="Calibri" w:eastAsia="Microsoft YaHei"/>
          <w:b w:val="0"/>
          <w:color w:val="1F2937"/>
          <w:sz w:val="22"/>
        </w:rPr>
        <w:t>至少 25 个案件工作包；</w:t>
      </w:r>
    </w:p>
    <w:p>
      <w:pPr>
        <w:pStyle w:val="ListBullet"/>
        <w:keepLines/>
      </w:pPr>
      <w:r>
        <w:rPr>
          <w:rFonts w:ascii="Calibri" w:hAnsi="Calibri" w:eastAsia="Microsoft YaHei"/>
          <w:b w:val="0"/>
          <w:color w:val="1F2937"/>
          <w:sz w:val="22"/>
        </w:rPr>
        <w:t>至少 3 家签署或书面承诺年度合同；</w:t>
      </w:r>
    </w:p>
    <w:p>
      <w:pPr>
        <w:pStyle w:val="ListBullet"/>
        <w:keepLines/>
      </w:pPr>
      <w:r>
        <w:rPr>
          <w:rFonts w:ascii="Calibri" w:hAnsi="Calibri" w:eastAsia="Microsoft YaHei"/>
          <w:b w:val="0"/>
          <w:color w:val="1F2937"/>
          <w:sz w:val="22"/>
        </w:rPr>
        <w:t>试点到年度合同转化 ≥50%。</w:t>
      </w:r>
    </w:p>
    <w:p>
      <w:pPr>
        <w:pStyle w:val="Heading3"/>
        <w:keepNext/>
        <w:keepLines/>
      </w:pPr>
      <w:r>
        <w:rPr>
          <w:rFonts w:ascii="Calibri" w:hAnsi="Calibri" w:eastAsia="Microsoft YaHei"/>
          <w:b/>
          <w:color w:val="17365D"/>
          <w:sz w:val="24"/>
        </w:rPr>
        <w:t>产品门禁</w:t>
      </w:r>
    </w:p>
    <w:p>
      <w:pPr>
        <w:pStyle w:val="ListBullet"/>
        <w:keepLines/>
      </w:pPr>
      <w:r>
        <w:rPr>
          <w:rFonts w:ascii="Calibri" w:hAnsi="Calibri" w:eastAsia="Microsoft YaHei"/>
          <w:b w:val="0"/>
          <w:color w:val="1F2937"/>
          <w:sz w:val="22"/>
        </w:rPr>
        <w:t>虚构法条/案例 0；</w:t>
      </w:r>
    </w:p>
    <w:p>
      <w:pPr>
        <w:pStyle w:val="ListBullet"/>
        <w:keepLines/>
      </w:pPr>
      <w:r>
        <w:rPr>
          <w:rFonts w:ascii="Calibri" w:hAnsi="Calibri" w:eastAsia="Microsoft YaHei"/>
          <w:b w:val="0"/>
          <w:color w:val="1F2937"/>
          <w:sz w:val="22"/>
        </w:rPr>
        <w:t>重要命题来源覆盖 100%；</w:t>
      </w:r>
    </w:p>
    <w:p>
      <w:pPr>
        <w:pStyle w:val="ListBullet"/>
        <w:keepLines/>
      </w:pPr>
      <w:r>
        <w:rPr>
          <w:rFonts w:ascii="Calibri" w:hAnsi="Calibri" w:eastAsia="Microsoft YaHei"/>
          <w:b w:val="0"/>
          <w:color w:val="1F2937"/>
          <w:sz w:val="22"/>
        </w:rPr>
        <w:t>盲评质量不低于人工流程；</w:t>
      </w:r>
    </w:p>
    <w:p>
      <w:pPr>
        <w:pStyle w:val="ListBullet"/>
        <w:keepLines/>
      </w:pPr>
      <w:r>
        <w:rPr>
          <w:rFonts w:ascii="Calibri" w:hAnsi="Calibri" w:eastAsia="Microsoft YaHei"/>
          <w:b w:val="0"/>
          <w:color w:val="1F2937"/>
          <w:sz w:val="22"/>
        </w:rPr>
        <w:t>中位净工时下降 ≥30%；</w:t>
      </w:r>
    </w:p>
    <w:p>
      <w:pPr>
        <w:pStyle w:val="ListBullet"/>
        <w:keepLines/>
      </w:pPr>
      <w:r>
        <w:rPr>
          <w:rFonts w:ascii="Calibri" w:hAnsi="Calibri" w:eastAsia="Microsoft YaHei"/>
          <w:b w:val="0"/>
          <w:color w:val="1F2937"/>
          <w:sz w:val="22"/>
        </w:rPr>
        <w:t>律师认为“值得保留”的自动发现（矛盾/缺口/法源）每案至少 3 条；</w:t>
      </w:r>
    </w:p>
    <w:p>
      <w:pPr>
        <w:pStyle w:val="ListBullet"/>
        <w:keepLines/>
      </w:pPr>
      <w:r>
        <w:rPr>
          <w:rFonts w:ascii="Calibri" w:hAnsi="Calibri" w:eastAsia="Microsoft YaHei"/>
          <w:b w:val="0"/>
          <w:color w:val="1F2937"/>
          <w:sz w:val="22"/>
        </w:rPr>
        <w:t>人工复核不超过被替代基线工时的 50%。</w:t>
      </w:r>
    </w:p>
    <w:p>
      <w:pPr>
        <w:pStyle w:val="Heading2"/>
        <w:keepNext/>
        <w:keepLines/>
      </w:pPr>
      <w:r>
        <w:rPr>
          <w:rFonts w:ascii="Calibri" w:hAnsi="Calibri" w:eastAsia="Microsoft YaHei"/>
          <w:b/>
          <w:color w:val="1F4E79"/>
          <w:sz w:val="26"/>
        </w:rPr>
        <w:t>11.5 阶段 3：收费 V1（第 7—12 月）</w:t>
      </w:r>
    </w:p>
    <w:p>
      <w:pPr>
        <w:pStyle w:val="Heading3"/>
        <w:keepNext/>
        <w:keepLines/>
      </w:pPr>
      <w:r>
        <w:rPr>
          <w:rFonts w:ascii="Calibri" w:hAnsi="Calibri" w:eastAsia="Microsoft YaHei"/>
          <w:b/>
          <w:color w:val="17365D"/>
          <w:sz w:val="24"/>
        </w:rPr>
        <w:t>产品</w:t>
      </w:r>
    </w:p>
    <w:p>
      <w:pPr>
        <w:pStyle w:val="ListBullet"/>
        <w:keepLines/>
      </w:pPr>
      <w:r>
        <w:rPr>
          <w:rFonts w:ascii="Calibri" w:hAnsi="Calibri" w:eastAsia="Microsoft YaHei"/>
          <w:b w:val="0"/>
          <w:color w:val="1F2937"/>
          <w:sz w:val="22"/>
        </w:rPr>
        <w:t>标准 SaaS 和专属云；</w:t>
      </w:r>
    </w:p>
    <w:p>
      <w:pPr>
        <w:pStyle w:val="ListBullet"/>
        <w:keepLines/>
      </w:pPr>
      <w:r>
        <w:rPr>
          <w:rFonts w:ascii="Calibri" w:hAnsi="Calibri" w:eastAsia="Microsoft YaHei"/>
          <w:b w:val="0"/>
          <w:color w:val="1F2937"/>
          <w:sz w:val="22"/>
        </w:rPr>
        <w:t>SSO/MFA、管理员、伦理墙、保留/法律保全；</w:t>
      </w:r>
    </w:p>
    <w:p>
      <w:pPr>
        <w:pStyle w:val="ListBullet"/>
        <w:keepLines/>
      </w:pPr>
      <w:r>
        <w:rPr>
          <w:rFonts w:ascii="Calibri" w:hAnsi="Calibri" w:eastAsia="Microsoft YaHei"/>
          <w:b w:val="0"/>
          <w:color w:val="1F2937"/>
          <w:sz w:val="22"/>
        </w:rPr>
        <w:t>Word 插件、DMS/OA 首批连接器；</w:t>
      </w:r>
    </w:p>
    <w:p>
      <w:pPr>
        <w:pStyle w:val="ListBullet"/>
        <w:keepLines/>
      </w:pPr>
      <w:r>
        <w:rPr>
          <w:rFonts w:ascii="Calibri" w:hAnsi="Calibri" w:eastAsia="Microsoft YaHei"/>
          <w:b w:val="0"/>
          <w:color w:val="1F2937"/>
          <w:sz w:val="22"/>
        </w:rPr>
        <w:t>多智能体受控工作流和队列；</w:t>
      </w:r>
    </w:p>
    <w:p>
      <w:pPr>
        <w:pStyle w:val="ListBullet"/>
        <w:keepLines/>
      </w:pPr>
      <w:r>
        <w:rPr>
          <w:rFonts w:ascii="Calibri" w:hAnsi="Calibri" w:eastAsia="Microsoft YaHei"/>
          <w:b w:val="0"/>
          <w:color w:val="1F2937"/>
          <w:sz w:val="22"/>
        </w:rPr>
        <w:t>模型回归、成本路由、故障降级；</w:t>
      </w:r>
    </w:p>
    <w:p>
      <w:pPr>
        <w:pStyle w:val="ListBullet"/>
        <w:keepLines/>
      </w:pPr>
      <w:r>
        <w:rPr>
          <w:rFonts w:ascii="Calibri" w:hAnsi="Calibri" w:eastAsia="Microsoft YaHei"/>
          <w:b w:val="0"/>
          <w:color w:val="1F2937"/>
          <w:sz w:val="22"/>
        </w:rPr>
        <w:t>100 案金标、季度红队、客户审计导出；</w:t>
      </w:r>
    </w:p>
    <w:p>
      <w:pPr>
        <w:pStyle w:val="ListBullet"/>
        <w:keepLines/>
      </w:pPr>
      <w:r>
        <w:rPr>
          <w:rFonts w:ascii="Calibri" w:hAnsi="Calibri" w:eastAsia="Microsoft YaHei"/>
          <w:b w:val="0"/>
          <w:color w:val="1F2937"/>
          <w:sz w:val="22"/>
        </w:rPr>
        <w:t>客户可配置模板和批准流程，但不能改安全底线。</w:t>
      </w:r>
    </w:p>
    <w:p>
      <w:pPr>
        <w:pStyle w:val="Heading3"/>
        <w:keepNext/>
        <w:keepLines/>
      </w:pPr>
      <w:r>
        <w:rPr>
          <w:rFonts w:ascii="Calibri" w:hAnsi="Calibri" w:eastAsia="Microsoft YaHei"/>
          <w:b/>
          <w:color w:val="17365D"/>
          <w:sz w:val="24"/>
        </w:rPr>
        <w:t>合规与安全</w:t>
      </w:r>
    </w:p>
    <w:p>
      <w:pPr>
        <w:pStyle w:val="ListBullet"/>
        <w:keepLines/>
      </w:pPr>
      <w:r>
        <w:rPr>
          <w:rFonts w:ascii="Calibri" w:hAnsi="Calibri" w:eastAsia="Microsoft YaHei"/>
          <w:b w:val="0"/>
          <w:color w:val="1F2937"/>
          <w:sz w:val="22"/>
        </w:rPr>
        <w:t>完成等保定级咨询和相应备案/建设/测评计划；</w:t>
      </w:r>
    </w:p>
    <w:p>
      <w:pPr>
        <w:pStyle w:val="ListBullet"/>
        <w:keepLines/>
      </w:pPr>
      <w:r>
        <w:rPr>
          <w:rFonts w:ascii="Calibri" w:hAnsi="Calibri" w:eastAsia="Microsoft YaHei"/>
          <w:b w:val="0"/>
          <w:color w:val="1F2937"/>
          <w:sz w:val="22"/>
        </w:rPr>
        <w:t>完成 PIPIA、DPA、隐私政策、供应商与事件流程；</w:t>
      </w:r>
    </w:p>
    <w:p>
      <w:pPr>
        <w:pStyle w:val="ListBullet"/>
        <w:keepLines/>
      </w:pPr>
      <w:r>
        <w:rPr>
          <w:rFonts w:ascii="Calibri" w:hAnsi="Calibri" w:eastAsia="Microsoft YaHei"/>
          <w:b w:val="0"/>
          <w:color w:val="1F2937"/>
          <w:sz w:val="22"/>
        </w:rPr>
        <w:t>完成第三方渗透测试与高危整改；</w:t>
      </w:r>
    </w:p>
    <w:p>
      <w:pPr>
        <w:pStyle w:val="ListBullet"/>
        <w:keepLines/>
      </w:pPr>
      <w:r>
        <w:rPr>
          <w:rFonts w:ascii="Calibri" w:hAnsi="Calibri" w:eastAsia="Microsoft YaHei"/>
          <w:b w:val="0"/>
          <w:color w:val="1F2937"/>
          <w:sz w:val="22"/>
        </w:rPr>
        <w:t>SBOM、签名发布、密钥轮换、恢复演练；</w:t>
      </w:r>
    </w:p>
    <w:p>
      <w:pPr>
        <w:pStyle w:val="ListBullet"/>
        <w:keepLines/>
      </w:pPr>
      <w:r>
        <w:rPr>
          <w:rFonts w:ascii="Calibri" w:hAnsi="Calibri" w:eastAsia="Microsoft YaHei"/>
          <w:b w:val="0"/>
          <w:color w:val="1F2937"/>
          <w:sz w:val="22"/>
        </w:rPr>
        <w:t>正式生成内容标识适用性分析和实现。</w:t>
      </w:r>
    </w:p>
    <w:p>
      <w:pPr>
        <w:pStyle w:val="Heading3"/>
        <w:keepNext/>
        <w:keepLines/>
      </w:pPr>
      <w:r>
        <w:rPr>
          <w:rFonts w:ascii="Calibri" w:hAnsi="Calibri" w:eastAsia="Microsoft YaHei"/>
          <w:b/>
          <w:color w:val="17365D"/>
          <w:sz w:val="24"/>
        </w:rPr>
        <w:t>商业</w:t>
      </w:r>
    </w:p>
    <w:p>
      <w:pPr>
        <w:pStyle w:val="ListBullet"/>
        <w:keepLines/>
      </w:pPr>
      <w:r>
        <w:rPr>
          <w:rFonts w:ascii="Calibri" w:hAnsi="Calibri" w:eastAsia="Microsoft YaHei"/>
          <w:b w:val="0"/>
          <w:color w:val="1F2937"/>
          <w:sz w:val="22"/>
        </w:rPr>
        <w:t>15—30 家付费机构；</w:t>
      </w:r>
    </w:p>
    <w:p>
      <w:pPr>
        <w:pStyle w:val="ListBullet"/>
        <w:keepLines/>
      </w:pPr>
      <w:r>
        <w:rPr>
          <w:rFonts w:ascii="Calibri" w:hAnsi="Calibri" w:eastAsia="Microsoft YaHei"/>
          <w:b w:val="0"/>
          <w:color w:val="1F2937"/>
          <w:sz w:val="22"/>
        </w:rPr>
        <w:t>年末 ARR 300—500 万元；</w:t>
      </w:r>
    </w:p>
    <w:p>
      <w:pPr>
        <w:pStyle w:val="ListBullet"/>
        <w:keepLines/>
      </w:pPr>
      <w:r>
        <w:rPr>
          <w:rFonts w:ascii="Calibri" w:hAnsi="Calibri" w:eastAsia="Microsoft YaHei"/>
          <w:b w:val="0"/>
          <w:color w:val="1F2937"/>
          <w:sz w:val="22"/>
        </w:rPr>
        <w:t>试点转年单 ≥60%；</w:t>
      </w:r>
    </w:p>
    <w:p>
      <w:pPr>
        <w:pStyle w:val="ListBullet"/>
        <w:keepLines/>
      </w:pPr>
      <w:r>
        <w:rPr>
          <w:rFonts w:ascii="Calibri" w:hAnsi="Calibri" w:eastAsia="Microsoft YaHei"/>
          <w:b w:val="0"/>
          <w:color w:val="1F2937"/>
          <w:sz w:val="22"/>
        </w:rPr>
        <w:t>至少 2 个非创始人主导成交；</w:t>
      </w:r>
    </w:p>
    <w:p>
      <w:pPr>
        <w:pStyle w:val="ListBullet"/>
        <w:keepLines/>
      </w:pPr>
      <w:r>
        <w:rPr>
          <w:rFonts w:ascii="Calibri" w:hAnsi="Calibri" w:eastAsia="Microsoft YaHei"/>
          <w:b w:val="0"/>
          <w:color w:val="1F2937"/>
          <w:sz w:val="22"/>
        </w:rPr>
        <w:t>标准 SaaS 实施 &lt;14 天。</w:t>
      </w:r>
    </w:p>
    <w:p>
      <w:pPr>
        <w:pStyle w:val="Heading2"/>
        <w:keepNext/>
        <w:keepLines/>
      </w:pPr>
      <w:r>
        <w:rPr>
          <w:rFonts w:ascii="Calibri" w:hAnsi="Calibri" w:eastAsia="Microsoft YaHei"/>
          <w:b/>
          <w:color w:val="1F4E79"/>
          <w:sz w:val="26"/>
        </w:rPr>
        <w:t>11.6 阶段 4：企业化与第二增长曲线（第 13—18 月）</w:t>
      </w:r>
    </w:p>
    <w:p>
      <w:pPr>
        <w:pStyle w:val="Heading3"/>
        <w:keepNext/>
        <w:keepLines/>
      </w:pPr>
      <w:r>
        <w:rPr>
          <w:rFonts w:ascii="Calibri" w:hAnsi="Calibri" w:eastAsia="Microsoft YaHei"/>
          <w:b/>
          <w:color w:val="17365D"/>
          <w:sz w:val="24"/>
        </w:rPr>
        <w:t>产品</w:t>
      </w:r>
    </w:p>
    <w:p>
      <w:pPr>
        <w:pStyle w:val="ListBullet"/>
        <w:keepLines/>
      </w:pPr>
      <w:r>
        <w:rPr>
          <w:rFonts w:ascii="Calibri" w:hAnsi="Calibri" w:eastAsia="Microsoft YaHei"/>
          <w:b w:val="0"/>
          <w:color w:val="1F2937"/>
          <w:sz w:val="22"/>
        </w:rPr>
        <w:t>私有化标准包、离线升级、客户自带密钥/模型；</w:t>
      </w:r>
    </w:p>
    <w:p>
      <w:pPr>
        <w:pStyle w:val="ListBullet"/>
        <w:keepLines/>
      </w:pPr>
      <w:r>
        <w:rPr>
          <w:rFonts w:ascii="Calibri" w:hAnsi="Calibri" w:eastAsia="Microsoft YaHei"/>
          <w:b w:val="0"/>
          <w:color w:val="1F2937"/>
          <w:sz w:val="22"/>
        </w:rPr>
        <w:t>建设工程或劳动争议第二 playbook（以数据验证结果选择）；</w:t>
      </w:r>
    </w:p>
    <w:p>
      <w:pPr>
        <w:pStyle w:val="ListBullet"/>
        <w:keepLines/>
      </w:pPr>
      <w:r>
        <w:rPr>
          <w:rFonts w:ascii="Calibri" w:hAnsi="Calibri" w:eastAsia="Microsoft YaHei"/>
          <w:b w:val="0"/>
          <w:color w:val="1F2937"/>
          <w:sz w:val="22"/>
        </w:rPr>
        <w:t>高级审阅抽样、批量材料和跨语言；</w:t>
      </w:r>
    </w:p>
    <w:p>
      <w:pPr>
        <w:pStyle w:val="ListBullet"/>
        <w:keepLines/>
      </w:pPr>
      <w:r>
        <w:rPr>
          <w:rFonts w:ascii="Calibri" w:hAnsi="Calibri" w:eastAsia="Microsoft YaHei"/>
          <w:b w:val="0"/>
          <w:color w:val="1F2937"/>
          <w:sz w:val="22"/>
        </w:rPr>
        <w:t>客户门户仅展示经批准成果；</w:t>
      </w:r>
    </w:p>
    <w:p>
      <w:pPr>
        <w:pStyle w:val="ListBullet"/>
        <w:keepLines/>
      </w:pPr>
      <w:r>
        <w:rPr>
          <w:rFonts w:ascii="Calibri" w:hAnsi="Calibri" w:eastAsia="Microsoft YaHei"/>
          <w:b w:val="0"/>
          <w:color w:val="1F2937"/>
          <w:sz w:val="22"/>
        </w:rPr>
        <w:t>管理层案件组合视图，不泄露案件正文；</w:t>
      </w:r>
    </w:p>
    <w:p>
      <w:pPr>
        <w:pStyle w:val="ListBullet"/>
        <w:keepLines/>
      </w:pPr>
      <w:r>
        <w:rPr>
          <w:rFonts w:ascii="Calibri" w:hAnsi="Calibri" w:eastAsia="Microsoft YaHei"/>
          <w:b w:val="0"/>
          <w:color w:val="1F2937"/>
          <w:sz w:val="22"/>
        </w:rPr>
        <w:t>可替换法律数据供应商和双源验证。</w:t>
      </w:r>
    </w:p>
    <w:p>
      <w:pPr>
        <w:pStyle w:val="Heading3"/>
        <w:keepNext/>
        <w:keepLines/>
      </w:pPr>
      <w:r>
        <w:rPr>
          <w:rFonts w:ascii="Calibri" w:hAnsi="Calibri" w:eastAsia="Microsoft YaHei"/>
          <w:b/>
          <w:color w:val="17365D"/>
          <w:sz w:val="24"/>
        </w:rPr>
        <w:t>商业</w:t>
      </w:r>
    </w:p>
    <w:p>
      <w:pPr>
        <w:pStyle w:val="ListBullet"/>
        <w:keepLines/>
      </w:pPr>
      <w:r>
        <w:rPr>
          <w:rFonts w:ascii="Calibri" w:hAnsi="Calibri" w:eastAsia="Microsoft YaHei"/>
          <w:b w:val="0"/>
          <w:color w:val="1F2937"/>
          <w:sz w:val="22"/>
        </w:rPr>
        <w:t>50—100 家付费机构等价；</w:t>
      </w:r>
    </w:p>
    <w:p>
      <w:pPr>
        <w:pStyle w:val="ListBullet"/>
        <w:keepLines/>
      </w:pPr>
      <w:r>
        <w:rPr>
          <w:rFonts w:ascii="Calibri" w:hAnsi="Calibri" w:eastAsia="Microsoft YaHei"/>
          <w:b w:val="0"/>
          <w:color w:val="1F2937"/>
          <w:sz w:val="22"/>
        </w:rPr>
        <w:t>ARR 1,500—3,000 万元；</w:t>
      </w:r>
    </w:p>
    <w:p>
      <w:pPr>
        <w:pStyle w:val="ListBullet"/>
        <w:keepLines/>
      </w:pPr>
      <w:r>
        <w:rPr>
          <w:rFonts w:ascii="Calibri" w:hAnsi="Calibri" w:eastAsia="Microsoft YaHei"/>
          <w:b w:val="0"/>
          <w:color w:val="1F2937"/>
          <w:sz w:val="22"/>
        </w:rPr>
        <w:t>NRR ≥110%、GRR ≥90%；</w:t>
      </w:r>
    </w:p>
    <w:p>
      <w:pPr>
        <w:pStyle w:val="ListBullet"/>
        <w:keepLines/>
      </w:pPr>
      <w:r>
        <w:rPr>
          <w:rFonts w:ascii="Calibri" w:hAnsi="Calibri" w:eastAsia="Microsoft YaHei"/>
          <w:b w:val="0"/>
          <w:color w:val="1F2937"/>
          <w:sz w:val="22"/>
        </w:rPr>
        <w:t>综合毛利率 &gt;55%，标准 SaaS &gt;70%；</w:t>
      </w:r>
    </w:p>
    <w:p>
      <w:pPr>
        <w:pStyle w:val="ListBullet"/>
        <w:keepLines/>
      </w:pPr>
      <w:r>
        <w:rPr>
          <w:rFonts w:ascii="Calibri" w:hAnsi="Calibri" w:eastAsia="Microsoft YaHei"/>
          <w:b w:val="0"/>
          <w:color w:val="1F2937"/>
          <w:sz w:val="22"/>
        </w:rPr>
        <w:t>伙伴交付占私有化实施的 30% 以上，但核心数据/权限设计由公司控制。</w:t>
      </w:r>
    </w:p>
    <w:p>
      <w:pPr>
        <w:pStyle w:val="Heading3"/>
        <w:keepNext/>
        <w:keepLines/>
      </w:pPr>
      <w:r>
        <w:rPr>
          <w:rFonts w:ascii="Calibri" w:hAnsi="Calibri" w:eastAsia="Microsoft YaHei"/>
          <w:b/>
          <w:color w:val="17365D"/>
          <w:sz w:val="24"/>
        </w:rPr>
        <w:t>组织门禁</w:t>
      </w:r>
    </w:p>
    <w:p>
      <w:pPr>
        <w:pStyle w:val="ListBullet"/>
        <w:keepLines/>
      </w:pPr>
      <w:r>
        <w:rPr>
          <w:rFonts w:ascii="Calibri" w:hAnsi="Calibri" w:eastAsia="Microsoft YaHei"/>
          <w:b w:val="0"/>
          <w:color w:val="1F2937"/>
          <w:sz w:val="22"/>
        </w:rPr>
        <w:t>不依赖创始人完成每次实施；</w:t>
      </w:r>
    </w:p>
    <w:p>
      <w:pPr>
        <w:pStyle w:val="ListBullet"/>
        <w:keepLines/>
      </w:pPr>
      <w:r>
        <w:rPr>
          <w:rFonts w:ascii="Calibri" w:hAnsi="Calibri" w:eastAsia="Microsoft YaHei"/>
          <w:b w:val="0"/>
          <w:color w:val="1F2937"/>
          <w:sz w:val="22"/>
        </w:rPr>
        <w:t>每案由有法律产品负责人和持续评测集；</w:t>
      </w:r>
    </w:p>
    <w:p>
      <w:pPr>
        <w:pStyle w:val="ListBullet"/>
        <w:keepLines/>
      </w:pPr>
      <w:r>
        <w:rPr>
          <w:rFonts w:ascii="Calibri" w:hAnsi="Calibri" w:eastAsia="Microsoft YaHei"/>
          <w:b w:val="0"/>
          <w:color w:val="1F2937"/>
          <w:sz w:val="22"/>
        </w:rPr>
        <w:t>模型/法源升级在 48 小时内完成回归和可回滚发布；</w:t>
      </w:r>
    </w:p>
    <w:p>
      <w:pPr>
        <w:pStyle w:val="ListBullet"/>
        <w:keepLines/>
      </w:pPr>
      <w:r>
        <w:rPr>
          <w:rFonts w:ascii="Calibri" w:hAnsi="Calibri" w:eastAsia="Microsoft YaHei"/>
          <w:b w:val="0"/>
          <w:color w:val="1F2937"/>
          <w:sz w:val="22"/>
        </w:rPr>
        <w:t>重大安全事件响应演练达到合同目标。</w:t>
      </w:r>
    </w:p>
    <w:p>
      <w:pPr>
        <w:pStyle w:val="Heading2"/>
        <w:keepNext/>
        <w:keepLines/>
      </w:pPr>
      <w:r>
        <w:rPr>
          <w:rFonts w:ascii="Calibri" w:hAnsi="Calibri" w:eastAsia="Microsoft YaHei"/>
          <w:b/>
          <w:color w:val="1F4E79"/>
          <w:sz w:val="26"/>
        </w:rPr>
        <w:t>11.7 前 90 天逐周行动</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159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周</w:t>
            </w:r>
          </w:p>
        </w:tc>
        <w:tc>
          <w:tcPr>
            <w:tcW w:type="dxa" w:w="470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首要行动</w:t>
            </w:r>
          </w:p>
        </w:tc>
        <w:tc>
          <w:tcPr>
            <w:tcW w:type="dxa" w:w="306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可见产物</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任命业务、法律、技术负责人；冻结禁区</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项目章程、RACI、排除清单</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2</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访谈 8 人、跟岗 2 案；完成仓库/数据流图</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基线流程、代码复用清单</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3</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访谈 8 人；设计案件对象与授权</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数据模型 V0、授权模板</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4</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供应商谈判；原件摄取 PoC</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法源选项表、哈希/OCR 演示</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5</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权限与伦理墙原型；确定试点客户</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策略模型、LOI/试点意向</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6</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阶段 0 决策评审</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Go/No-Go 备忘录</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7</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租户/案件服务和对象存储</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安全骨架</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8</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OCR/坐标/文档清单</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第一份材料清单</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9</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实体归一与时间线</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可点回原文的时间线</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10</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人工确认与版本</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审阅交互</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11</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案件问答与引用约束</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来源回答</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12</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DLP、模型网关、调用审计</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模型策略和成本账本</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13</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红队 1：越权/跨案件/提示注入</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问题与整改清单</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14</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5 案 Alpha 测试</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质量/工时报告</w:t>
            </w:r>
          </w:p>
        </w:tc>
      </w:tr>
      <w:tr>
        <w:trPr>
          <w:cantSplit/>
        </w:trPr>
        <w:tc>
          <w:tcPr>
            <w:tcW w:type="dxa" w:w="159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15</w:t>
            </w:r>
          </w:p>
        </w:tc>
        <w:tc>
          <w:tcPr>
            <w:tcW w:type="dxa" w:w="470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修复与第二轮盲测</w:t>
            </w:r>
          </w:p>
        </w:tc>
        <w:tc>
          <w:tcPr>
            <w:tcW w:type="dxa" w:w="30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回归报告</w:t>
            </w:r>
          </w:p>
        </w:tc>
      </w:tr>
      <w:tr>
        <w:trPr>
          <w:cantSplit/>
        </w:trPr>
        <w:tc>
          <w:tcPr>
            <w:tcW w:type="dxa" w:w="159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16</w:t>
            </w:r>
          </w:p>
        </w:tc>
        <w:tc>
          <w:tcPr>
            <w:tcW w:type="dxa" w:w="470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Alpha 门禁评审，启动付费试点</w:t>
            </w:r>
          </w:p>
        </w:tc>
        <w:tc>
          <w:tcPr>
            <w:tcW w:type="dxa" w:w="30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试点版本与验收计划</w:t>
            </w:r>
          </w:p>
        </w:tc>
      </w:tr>
    </w:tbl>
    <w:p>
      <w:pPr>
        <w:spacing w:after="0"/>
      </w:pPr>
    </w:p>
    <w:p>
      <w:pPr>
        <w:pStyle w:val="Heading1"/>
        <w:keepNext/>
        <w:keepLines/>
      </w:pPr>
      <w:r>
        <w:rPr>
          <w:rFonts w:ascii="Calibri" w:hAnsi="Calibri" w:eastAsia="Microsoft YaHei"/>
          <w:b/>
          <w:color w:val="1F4E79"/>
          <w:sz w:val="32"/>
        </w:rPr>
        <w:t>十二、团队、治理与交付能力</w:t>
      </w:r>
    </w:p>
    <w:p>
      <w:pPr>
        <w:pStyle w:val="Heading2"/>
        <w:keepNext/>
        <w:keepLines/>
      </w:pPr>
      <w:r>
        <w:rPr>
          <w:rFonts w:ascii="Calibri" w:hAnsi="Calibri" w:eastAsia="Microsoft YaHei"/>
          <w:b/>
          <w:color w:val="1F4E79"/>
          <w:sz w:val="26"/>
        </w:rPr>
        <w:t>12.1 初始组织（11—15 人）</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358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角色</w:t>
            </w:r>
          </w:p>
        </w:tc>
        <w:tc>
          <w:tcPr>
            <w:tcW w:type="dxa" w:w="174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人数</w:t>
            </w:r>
          </w:p>
        </w:tc>
        <w:tc>
          <w:tcPr>
            <w:tcW w:type="dxa" w:w="403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核心职责</w:t>
            </w:r>
          </w:p>
        </w:tc>
      </w:tr>
      <w:tr>
        <w:trPr>
          <w:cantSplit/>
        </w:trPr>
        <w:tc>
          <w:tcPr>
            <w:tcW w:type="dxa" w:w="35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产品/业务负责人</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w:t>
            </w:r>
          </w:p>
        </w:tc>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战略、客户、范围、商业门禁</w:t>
            </w:r>
          </w:p>
        </w:tc>
      </w:tr>
      <w:tr>
        <w:trPr>
          <w:cantSplit/>
        </w:trPr>
        <w:tc>
          <w:tcPr>
            <w:tcW w:type="dxa" w:w="35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法律产品负责人（资深争议律师）</w:t>
            </w:r>
          </w:p>
        </w:tc>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w:t>
            </w:r>
          </w:p>
        </w:tc>
        <w:tc>
          <w:tcPr>
            <w:tcW w:type="dxa" w:w="4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案由模型、质量、客户共创、责任边界</w:t>
            </w:r>
          </w:p>
        </w:tc>
      </w:tr>
      <w:tr>
        <w:trPr>
          <w:cantSplit/>
        </w:trPr>
        <w:tc>
          <w:tcPr>
            <w:tcW w:type="dxa" w:w="35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技术负责人/架构</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w:t>
            </w:r>
          </w:p>
        </w:tc>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Hermes 演进、控制面、系统边界</w:t>
            </w:r>
          </w:p>
        </w:tc>
      </w:tr>
      <w:tr>
        <w:trPr>
          <w:cantSplit/>
        </w:trPr>
        <w:tc>
          <w:tcPr>
            <w:tcW w:type="dxa" w:w="35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后端/平台工程</w:t>
            </w:r>
          </w:p>
        </w:tc>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2—3</w:t>
            </w:r>
          </w:p>
        </w:tc>
        <w:tc>
          <w:tcPr>
            <w:tcW w:type="dxa" w:w="4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案件、权限、工作流、审计、模型网关</w:t>
            </w:r>
          </w:p>
        </w:tc>
      </w:tr>
      <w:tr>
        <w:trPr>
          <w:cantSplit/>
        </w:trPr>
        <w:tc>
          <w:tcPr>
            <w:tcW w:type="dxa" w:w="35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前端/Desktop/Word</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w:t>
            </w:r>
          </w:p>
        </w:tc>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案件工作台、审阅、Office 集成</w:t>
            </w:r>
          </w:p>
        </w:tc>
      </w:tr>
      <w:tr>
        <w:trPr>
          <w:cantSplit/>
        </w:trPr>
        <w:tc>
          <w:tcPr>
            <w:tcW w:type="dxa" w:w="35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AI/检索/评测</w:t>
            </w:r>
          </w:p>
        </w:tc>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2</w:t>
            </w:r>
          </w:p>
        </w:tc>
        <w:tc>
          <w:tcPr>
            <w:tcW w:type="dxa" w:w="4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RAG、事实图、模型路由、金标与回归</w:t>
            </w:r>
          </w:p>
        </w:tc>
      </w:tr>
      <w:tr>
        <w:trPr>
          <w:cantSplit/>
        </w:trPr>
        <w:tc>
          <w:tcPr>
            <w:tcW w:type="dxa" w:w="35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文档/OCR/数据工程</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w:t>
            </w:r>
          </w:p>
        </w:tc>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摄取、版面、索引、数据质量</w:t>
            </w:r>
          </w:p>
        </w:tc>
      </w:tr>
      <w:tr>
        <w:trPr>
          <w:cantSplit/>
        </w:trPr>
        <w:tc>
          <w:tcPr>
            <w:tcW w:type="dxa" w:w="35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安全/DevSecOps/SRE</w:t>
            </w:r>
          </w:p>
        </w:tc>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w:t>
            </w:r>
          </w:p>
        </w:tc>
        <w:tc>
          <w:tcPr>
            <w:tcW w:type="dxa" w:w="4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隔离、供应链、监控、灾备、私有化</w:t>
            </w:r>
          </w:p>
        </w:tc>
      </w:tr>
      <w:tr>
        <w:trPr>
          <w:cantSplit/>
        </w:trPr>
        <w:tc>
          <w:tcPr>
            <w:tcW w:type="dxa" w:w="35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QA/测试自动化</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w:t>
            </w:r>
          </w:p>
        </w:tc>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E2E、权限、安全与发布验证</w:t>
            </w:r>
          </w:p>
        </w:tc>
      </w:tr>
      <w:tr>
        <w:trPr>
          <w:cantSplit/>
        </w:trPr>
        <w:tc>
          <w:tcPr>
            <w:tcW w:type="dxa" w:w="358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解决方案/客户成功</w:t>
            </w:r>
          </w:p>
        </w:tc>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1—2</w:t>
            </w:r>
          </w:p>
        </w:tc>
        <w:tc>
          <w:tcPr>
            <w:tcW w:type="dxa" w:w="403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试点、培训、价值测量、实施</w:t>
            </w:r>
          </w:p>
        </w:tc>
      </w:tr>
      <w:tr>
        <w:trPr>
          <w:cantSplit/>
        </w:trPr>
        <w:tc>
          <w:tcPr>
            <w:tcW w:type="dxa" w:w="358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销售</w:t>
            </w:r>
          </w:p>
        </w:tc>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0—1</w:t>
            </w:r>
          </w:p>
        </w:tc>
        <w:tc>
          <w:tcPr>
            <w:tcW w:type="dxa" w:w="403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前 6 月创始人销售，验证后招聘</w:t>
            </w:r>
          </w:p>
        </w:tc>
      </w:tr>
    </w:tbl>
    <w:p>
      <w:pPr>
        <w:spacing w:after="0"/>
      </w:pPr>
    </w:p>
    <w:p>
      <w:r>
        <w:rPr>
          <w:rFonts w:ascii="Calibri" w:hAnsi="Calibri" w:eastAsia="Microsoft YaHei"/>
          <w:b w:val="0"/>
          <w:color w:val="1F2937"/>
          <w:sz w:val="22"/>
        </w:rPr>
        <w:t>隐私、专项法律意见、等保、渗透和保险可由外部专业机构支持，但产品法律质量负责人和安全架构不能完全外包。</w:t>
      </w:r>
    </w:p>
    <w:p>
      <w:pPr>
        <w:pStyle w:val="Heading2"/>
        <w:keepNext/>
        <w:keepLines/>
      </w:pPr>
      <w:r>
        <w:rPr>
          <w:rFonts w:ascii="Calibri" w:hAnsi="Calibri" w:eastAsia="Microsoft YaHei"/>
          <w:b/>
          <w:color w:val="1F4E79"/>
          <w:sz w:val="26"/>
        </w:rPr>
        <w:t>12.2 关键 RACI</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872"/>
        <w:gridCol w:w="1872"/>
        <w:gridCol w:w="1872"/>
        <w:gridCol w:w="1872"/>
        <w:gridCol w:w="1872"/>
      </w:tblGrid>
      <w:tr>
        <w:trPr>
          <w:cantSplit/>
          <w:tblHeader w:val="true"/>
        </w:trPr>
        <w:tc>
          <w:tcPr>
            <w:tcW w:type="dxa" w:w="187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决策</w:t>
            </w:r>
          </w:p>
        </w:tc>
        <w:tc>
          <w:tcPr>
            <w:tcW w:type="dxa" w:w="133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负责 R</w:t>
            </w:r>
          </w:p>
        </w:tc>
        <w:tc>
          <w:tcPr>
            <w:tcW w:type="dxa" w:w="222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最终负责 A</w:t>
            </w:r>
          </w:p>
        </w:tc>
        <w:tc>
          <w:tcPr>
            <w:tcW w:type="dxa" w:w="170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咨询 C</w:t>
            </w:r>
          </w:p>
        </w:tc>
        <w:tc>
          <w:tcPr>
            <w:tcW w:type="dxa" w:w="222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知会 I</w:t>
            </w:r>
          </w:p>
        </w:tc>
      </w:tr>
      <w:tr>
        <w:trPr>
          <w:cantSplit/>
        </w:trPr>
        <w:tc>
          <w:tcPr>
            <w:tcW w:type="dxa" w:w="18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MVP 范围</w:t>
            </w:r>
          </w:p>
        </w:tc>
        <w:tc>
          <w:tcPr>
            <w:tcW w:type="dxa" w:w="13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产品负责人</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CEO/业务负责人</w:t>
            </w:r>
          </w:p>
        </w:tc>
        <w:tc>
          <w:tcPr>
            <w:tcW w:type="dxa" w:w="170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法律、技术、客户</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全员</w:t>
            </w:r>
          </w:p>
        </w:tc>
      </w:tr>
      <w:tr>
        <w:trPr>
          <w:cantSplit/>
        </w:trPr>
        <w:tc>
          <w:tcPr>
            <w:tcW w:type="dxa" w:w="18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案由 playbook</w:t>
            </w:r>
          </w:p>
        </w:tc>
        <w:tc>
          <w:tcPr>
            <w:tcW w:type="dxa" w:w="13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法律产品负责人</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法律质量委员会</w:t>
            </w:r>
          </w:p>
        </w:tc>
        <w:tc>
          <w:tcPr>
            <w:tcW w:type="dxa" w:w="170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试点律师、评测</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产品/销售</w:t>
            </w:r>
          </w:p>
        </w:tc>
      </w:tr>
      <w:tr>
        <w:trPr>
          <w:cantSplit/>
        </w:trPr>
        <w:tc>
          <w:tcPr>
            <w:tcW w:type="dxa" w:w="18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模型/供应商上线</w:t>
            </w:r>
          </w:p>
        </w:tc>
        <w:tc>
          <w:tcPr>
            <w:tcW w:type="dxa" w:w="13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模型负责人</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模型风险与安全委员会</w:t>
            </w:r>
          </w:p>
        </w:tc>
        <w:tc>
          <w:tcPr>
            <w:tcW w:type="dxa" w:w="170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法律、隐私、采购</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客户管理员</w:t>
            </w:r>
          </w:p>
        </w:tc>
      </w:tr>
      <w:tr>
        <w:trPr>
          <w:cantSplit/>
        </w:trPr>
        <w:tc>
          <w:tcPr>
            <w:tcW w:type="dxa" w:w="18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数据级别与路由</w:t>
            </w:r>
          </w:p>
        </w:tc>
        <w:tc>
          <w:tcPr>
            <w:tcW w:type="dxa" w:w="13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安全/隐私</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CISO/合规负责人</w:t>
            </w:r>
          </w:p>
        </w:tc>
        <w:tc>
          <w:tcPr>
            <w:tcW w:type="dxa" w:w="170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法律、架构</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研发/交付</w:t>
            </w:r>
          </w:p>
        </w:tc>
      </w:tr>
      <w:tr>
        <w:trPr>
          <w:cantSplit/>
        </w:trPr>
        <w:tc>
          <w:tcPr>
            <w:tcW w:type="dxa" w:w="18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高风险功能发布</w:t>
            </w:r>
          </w:p>
        </w:tc>
        <w:tc>
          <w:tcPr>
            <w:tcW w:type="dxa" w:w="13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产品/工程</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CTO + 法律负责人双签</w:t>
            </w:r>
          </w:p>
        </w:tc>
        <w:tc>
          <w:tcPr>
            <w:tcW w:type="dxa" w:w="170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安全、QA、客户成功</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客户</w:t>
            </w:r>
          </w:p>
        </w:tc>
      </w:tr>
      <w:tr>
        <w:trPr>
          <w:cantSplit/>
        </w:trPr>
        <w:tc>
          <w:tcPr>
            <w:tcW w:type="dxa" w:w="18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安全事件</w:t>
            </w:r>
          </w:p>
        </w:tc>
        <w:tc>
          <w:tcPr>
            <w:tcW w:type="dxa" w:w="13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安全负责人</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CEO/CISO</w:t>
            </w:r>
          </w:p>
        </w:tc>
        <w:tc>
          <w:tcPr>
            <w:tcW w:type="dxa" w:w="170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法律、客户、供应商</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董事会/主管部门（适用时）</w:t>
            </w:r>
          </w:p>
        </w:tc>
      </w:tr>
      <w:tr>
        <w:trPr>
          <w:cantSplit/>
        </w:trPr>
        <w:tc>
          <w:tcPr>
            <w:tcW w:type="dxa" w:w="18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法源更新</w:t>
            </w:r>
          </w:p>
        </w:tc>
        <w:tc>
          <w:tcPr>
            <w:tcW w:type="dxa" w:w="13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知识负责人</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法律负责人</w:t>
            </w:r>
          </w:p>
        </w:tc>
        <w:tc>
          <w:tcPr>
            <w:tcW w:type="dxa" w:w="170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数据供应商、评测</w:t>
            </w:r>
          </w:p>
        </w:tc>
        <w:tc>
          <w:tcPr>
            <w:tcW w:type="dxa" w:w="222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用户</w:t>
            </w:r>
          </w:p>
        </w:tc>
      </w:tr>
      <w:tr>
        <w:trPr>
          <w:cantSplit/>
        </w:trPr>
        <w:tc>
          <w:tcPr>
            <w:tcW w:type="dxa" w:w="18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私有化例外</w:t>
            </w:r>
          </w:p>
        </w:tc>
        <w:tc>
          <w:tcPr>
            <w:tcW w:type="dxa" w:w="13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解决方案架构</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CTO</w:t>
            </w:r>
          </w:p>
        </w:tc>
        <w:tc>
          <w:tcPr>
            <w:tcW w:type="dxa" w:w="170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安全、产品、财务</w:t>
            </w:r>
          </w:p>
        </w:tc>
        <w:tc>
          <w:tcPr>
            <w:tcW w:type="dxa" w:w="222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交付团队</w:t>
            </w:r>
          </w:p>
        </w:tc>
      </w:tr>
    </w:tbl>
    <w:p>
      <w:pPr>
        <w:spacing w:after="0"/>
      </w:pPr>
    </w:p>
    <w:p>
      <w:pPr>
        <w:pStyle w:val="Heading2"/>
        <w:keepNext/>
        <w:keepLines/>
      </w:pPr>
      <w:r>
        <w:rPr>
          <w:rFonts w:ascii="Calibri" w:hAnsi="Calibri" w:eastAsia="Microsoft YaHei"/>
          <w:b/>
          <w:color w:val="1F4E79"/>
          <w:sz w:val="26"/>
        </w:rPr>
        <w:t>12.3 运行节奏</w:t>
      </w:r>
    </w:p>
    <w:p>
      <w:pPr>
        <w:pStyle w:val="ListBullet"/>
        <w:keepLines/>
      </w:pPr>
      <w:r>
        <w:rPr>
          <w:rFonts w:ascii="Calibri" w:hAnsi="Calibri" w:eastAsia="Microsoft YaHei"/>
          <w:b w:val="0"/>
          <w:color w:val="1F2937"/>
          <w:sz w:val="22"/>
        </w:rPr>
        <w:t>每日：关键试点问题与安全告警；</w:t>
      </w:r>
    </w:p>
    <w:p>
      <w:pPr>
        <w:pStyle w:val="ListBullet"/>
        <w:keepLines/>
      </w:pPr>
      <w:r>
        <w:rPr>
          <w:rFonts w:ascii="Calibri" w:hAnsi="Calibri" w:eastAsia="Microsoft YaHei"/>
          <w:b w:val="0"/>
          <w:color w:val="1F2937"/>
          <w:sz w:val="22"/>
        </w:rPr>
        <w:t>每周：产品/客户/质量/成本四联评审；</w:t>
      </w:r>
    </w:p>
    <w:p>
      <w:pPr>
        <w:pStyle w:val="ListBullet"/>
        <w:keepLines/>
      </w:pPr>
      <w:r>
        <w:rPr>
          <w:rFonts w:ascii="Calibri" w:hAnsi="Calibri" w:eastAsia="Microsoft YaHei"/>
          <w:b w:val="0"/>
          <w:color w:val="1F2937"/>
          <w:sz w:val="22"/>
        </w:rPr>
        <w:t>双周：模型和检索回归发布；</w:t>
      </w:r>
    </w:p>
    <w:p>
      <w:pPr>
        <w:pStyle w:val="ListBullet"/>
        <w:keepLines/>
      </w:pPr>
      <w:r>
        <w:rPr>
          <w:rFonts w:ascii="Calibri" w:hAnsi="Calibri" w:eastAsia="Microsoft YaHei"/>
          <w:b w:val="0"/>
          <w:color w:val="1F2937"/>
          <w:sz w:val="22"/>
        </w:rPr>
        <w:t>每月：客户治理会、供应商变更、风险登记册；</w:t>
      </w:r>
    </w:p>
    <w:p>
      <w:pPr>
        <w:pStyle w:val="ListBullet"/>
        <w:keepLines/>
      </w:pPr>
      <w:r>
        <w:rPr>
          <w:rFonts w:ascii="Calibri" w:hAnsi="Calibri" w:eastAsia="Microsoft YaHei"/>
          <w:b w:val="0"/>
          <w:color w:val="1F2937"/>
          <w:sz w:val="22"/>
        </w:rPr>
        <w:t>每季度：红队、恢复演练、数据保留抽查、路线图和预算复盘；</w:t>
      </w:r>
    </w:p>
    <w:p>
      <w:pPr>
        <w:pStyle w:val="ListBullet"/>
        <w:keepLines/>
      </w:pPr>
      <w:r>
        <w:rPr>
          <w:rFonts w:ascii="Calibri" w:hAnsi="Calibri" w:eastAsia="Microsoft YaHei"/>
          <w:b w:val="0"/>
          <w:color w:val="1F2937"/>
          <w:sz w:val="22"/>
        </w:rPr>
        <w:t>每半年：外部安全测试和法律/监管差距分析；</w:t>
      </w:r>
    </w:p>
    <w:p>
      <w:pPr>
        <w:pStyle w:val="ListBullet"/>
        <w:keepLines/>
      </w:pPr>
      <w:r>
        <w:rPr>
          <w:rFonts w:ascii="Calibri" w:hAnsi="Calibri" w:eastAsia="Microsoft YaHei"/>
          <w:b w:val="0"/>
          <w:color w:val="1F2937"/>
          <w:sz w:val="22"/>
        </w:rPr>
        <w:t>每年：个人信息合规审计、等保相关工作、保险和业务连续性评审。</w:t>
      </w:r>
    </w:p>
    <w:p>
      <w:pPr>
        <w:pStyle w:val="Heading2"/>
        <w:keepNext/>
        <w:keepLines/>
      </w:pPr>
      <w:r>
        <w:rPr>
          <w:rFonts w:ascii="Calibri" w:hAnsi="Calibri" w:eastAsia="Microsoft YaHei"/>
          <w:b/>
          <w:color w:val="1F4E79"/>
          <w:sz w:val="26"/>
        </w:rPr>
        <w:t>12.4 工程规则</w:t>
      </w:r>
    </w:p>
    <w:p>
      <w:pPr>
        <w:pStyle w:val="ListBullet"/>
        <w:keepLines/>
      </w:pPr>
      <w:r>
        <w:rPr>
          <w:rFonts w:ascii="Calibri" w:hAnsi="Calibri" w:eastAsia="Microsoft YaHei"/>
          <w:b w:val="0"/>
          <w:color w:val="1F2937"/>
          <w:sz w:val="22"/>
        </w:rPr>
        <w:t>法律能力优先作为业务工具、服务门控工具、插件或 MCP，不随意增加 Hermes 常驻核心工具；</w:t>
      </w:r>
    </w:p>
    <w:p>
      <w:pPr>
        <w:pStyle w:val="ListBullet"/>
        <w:keepLines/>
      </w:pPr>
      <w:r>
        <w:rPr>
          <w:rFonts w:ascii="Calibri" w:hAnsi="Calibri" w:eastAsia="Microsoft YaHei"/>
          <w:b w:val="0"/>
          <w:color w:val="1F2937"/>
          <w:sz w:val="22"/>
        </w:rPr>
        <w:t>系统提示词在会话内保持字节稳定，案件事实、权限和任务放在动态数据对象中；</w:t>
      </w:r>
    </w:p>
    <w:p>
      <w:pPr>
        <w:pStyle w:val="ListBullet"/>
        <w:keepLines/>
      </w:pPr>
      <w:r>
        <w:rPr>
          <w:rFonts w:ascii="Calibri" w:hAnsi="Calibri" w:eastAsia="Microsoft YaHei"/>
          <w:b w:val="0"/>
          <w:color w:val="1F2937"/>
          <w:sz w:val="22"/>
        </w:rPr>
        <w:t>权限与数据过滤必须在服务端强制，不能依赖前端隐藏或提示词；</w:t>
      </w:r>
    </w:p>
    <w:p>
      <w:pPr>
        <w:pStyle w:val="ListBullet"/>
        <w:keepLines/>
      </w:pPr>
      <w:r>
        <w:rPr>
          <w:rFonts w:ascii="Calibri" w:hAnsi="Calibri" w:eastAsia="Microsoft YaHei"/>
          <w:b w:val="0"/>
          <w:color w:val="1F2937"/>
          <w:sz w:val="22"/>
        </w:rPr>
        <w:t>测试断言行为契约和隔离不变量，不冻结会变化的模型枚举、版本号或计数；</w:t>
      </w:r>
    </w:p>
    <w:p>
      <w:pPr>
        <w:pStyle w:val="ListBullet"/>
        <w:keepLines/>
      </w:pPr>
      <w:r>
        <w:rPr>
          <w:rFonts w:ascii="Calibri" w:hAnsi="Calibri" w:eastAsia="Microsoft YaHei"/>
          <w:b w:val="0"/>
          <w:color w:val="1F2937"/>
          <w:sz w:val="22"/>
        </w:rPr>
        <w:t>涉及身份、权限、远端存储和文件 I/O 的功能必须有真实路径 E2E；</w:t>
      </w:r>
    </w:p>
    <w:p>
      <w:pPr>
        <w:pStyle w:val="ListBullet"/>
        <w:keepLines/>
      </w:pPr>
      <w:r>
        <w:rPr>
          <w:rFonts w:ascii="Calibri" w:hAnsi="Calibri" w:eastAsia="Microsoft YaHei"/>
          <w:b w:val="0"/>
          <w:color w:val="1F2937"/>
          <w:sz w:val="22"/>
        </w:rPr>
        <w:t>模型输出永远不是数据库真值，需经过 schema、验证和状态机；</w:t>
      </w:r>
    </w:p>
    <w:p>
      <w:pPr>
        <w:pStyle w:val="ListBullet"/>
        <w:keepLines/>
      </w:pPr>
      <w:r>
        <w:rPr>
          <w:rFonts w:ascii="Calibri" w:hAnsi="Calibri" w:eastAsia="Microsoft YaHei"/>
          <w:b w:val="0"/>
          <w:color w:val="1F2937"/>
          <w:sz w:val="22"/>
        </w:rPr>
        <w:t>重大依赖升级、模型切换、法源更新均触发回归；</w:t>
      </w:r>
    </w:p>
    <w:p>
      <w:pPr>
        <w:pStyle w:val="ListBullet"/>
        <w:keepLines/>
      </w:pPr>
      <w:r>
        <w:rPr>
          <w:rFonts w:ascii="Calibri" w:hAnsi="Calibri" w:eastAsia="Microsoft YaHei"/>
          <w:b w:val="0"/>
          <w:color w:val="1F2937"/>
          <w:sz w:val="22"/>
        </w:rPr>
        <w:t>任何“临时绕过”必须有到期日、风险接受人和自动告警。</w:t>
      </w:r>
    </w:p>
    <w:p>
      <w:pPr>
        <w:pStyle w:val="Heading1"/>
        <w:keepNext/>
        <w:keepLines/>
      </w:pPr>
      <w:r>
        <w:rPr>
          <w:rFonts w:ascii="Calibri" w:hAnsi="Calibri" w:eastAsia="Microsoft YaHei"/>
          <w:b/>
          <w:color w:val="1F4E79"/>
          <w:sz w:val="32"/>
        </w:rPr>
        <w:t>十三、指标体系与经营仪表盘</w:t>
      </w:r>
    </w:p>
    <w:p>
      <w:pPr>
        <w:pStyle w:val="Heading2"/>
        <w:keepNext/>
        <w:keepLines/>
      </w:pPr>
      <w:r>
        <w:rPr>
          <w:rFonts w:ascii="Calibri" w:hAnsi="Calibri" w:eastAsia="Microsoft YaHei"/>
          <w:b/>
          <w:color w:val="1F4E79"/>
          <w:sz w:val="26"/>
        </w:rPr>
        <w:t>13.1 指标树</w:t>
      </w:r>
    </w:p>
    <w:p>
      <w:pPr>
        <w:pStyle w:val="Heading3"/>
        <w:keepNext/>
        <w:keepLines/>
      </w:pPr>
      <w:r>
        <w:rPr>
          <w:rFonts w:ascii="Calibri" w:hAnsi="Calibri" w:eastAsia="Microsoft YaHei"/>
          <w:b/>
          <w:color w:val="17365D"/>
          <w:sz w:val="24"/>
        </w:rPr>
        <w:t>北极星</w:t>
      </w:r>
    </w:p>
    <w:p>
      <w:r>
        <w:rPr>
          <w:rFonts w:ascii="Calibri" w:hAnsi="Calibri" w:eastAsia="Microsoft YaHei"/>
          <w:b/>
          <w:color w:val="1F2937"/>
          <w:sz w:val="22"/>
        </w:rPr>
        <w:t>经律师审核通过的案件工作包净节省工时。</w:t>
      </w:r>
    </w:p>
    <w:p>
      <w:pPr>
        <w:pStyle w:val="Heading3"/>
        <w:keepNext/>
        <w:keepLines/>
      </w:pPr>
      <w:r>
        <w:rPr>
          <w:rFonts w:ascii="Calibri" w:hAnsi="Calibri" w:eastAsia="Microsoft YaHei"/>
          <w:b/>
          <w:color w:val="17365D"/>
          <w:sz w:val="24"/>
        </w:rPr>
        <w:t>价值指标</w:t>
      </w:r>
    </w:p>
    <w:p>
      <w:pPr>
        <w:pStyle w:val="ListBullet"/>
        <w:keepLines/>
      </w:pPr>
      <w:r>
        <w:rPr>
          <w:rFonts w:ascii="Calibri" w:hAnsi="Calibri" w:eastAsia="Microsoft YaHei"/>
          <w:b w:val="0"/>
          <w:color w:val="1F2937"/>
          <w:sz w:val="22"/>
        </w:rPr>
        <w:t>首份可用时间线时间（Time to First Verified Timeline）；</w:t>
      </w:r>
    </w:p>
    <w:p>
      <w:pPr>
        <w:pStyle w:val="ListBullet"/>
        <w:keepLines/>
      </w:pPr>
      <w:r>
        <w:rPr>
          <w:rFonts w:ascii="Calibri" w:hAnsi="Calibri" w:eastAsia="Microsoft YaHei"/>
          <w:b w:val="0"/>
          <w:color w:val="1F2937"/>
          <w:sz w:val="22"/>
        </w:rPr>
        <w:t>从材料接收至可审工作包的周期；</w:t>
      </w:r>
    </w:p>
    <w:p>
      <w:pPr>
        <w:pStyle w:val="ListBullet"/>
        <w:keepLines/>
      </w:pPr>
      <w:r>
        <w:rPr>
          <w:rFonts w:ascii="Calibri" w:hAnsi="Calibri" w:eastAsia="Microsoft YaHei"/>
          <w:b w:val="0"/>
          <w:color w:val="1F2937"/>
          <w:sz w:val="22"/>
        </w:rPr>
        <w:t>净节省工时和节省比例；</w:t>
      </w:r>
    </w:p>
    <w:p>
      <w:pPr>
        <w:pStyle w:val="ListBullet"/>
        <w:keepLines/>
      </w:pPr>
      <w:r>
        <w:rPr>
          <w:rFonts w:ascii="Calibri" w:hAnsi="Calibri" w:eastAsia="Microsoft YaHei"/>
          <w:b w:val="0"/>
          <w:color w:val="1F2937"/>
          <w:sz w:val="22"/>
        </w:rPr>
        <w:t>每案被律师确认的关键矛盾/缺口；</w:t>
      </w:r>
    </w:p>
    <w:p>
      <w:pPr>
        <w:pStyle w:val="ListBullet"/>
        <w:keepLines/>
      </w:pPr>
      <w:r>
        <w:rPr>
          <w:rFonts w:ascii="Calibri" w:hAnsi="Calibri" w:eastAsia="Microsoft YaHei"/>
          <w:b w:val="0"/>
          <w:color w:val="1F2937"/>
          <w:sz w:val="22"/>
        </w:rPr>
        <w:t>工作成果一次审阅通过率；</w:t>
      </w:r>
    </w:p>
    <w:p>
      <w:pPr>
        <w:pStyle w:val="ListBullet"/>
        <w:keepLines/>
      </w:pPr>
      <w:r>
        <w:rPr>
          <w:rFonts w:ascii="Calibri" w:hAnsi="Calibri" w:eastAsia="Microsoft YaHei"/>
          <w:b w:val="0"/>
          <w:color w:val="1F2937"/>
          <w:sz w:val="22"/>
        </w:rPr>
        <w:t>客户感知响应周期改善。</w:t>
      </w:r>
    </w:p>
    <w:p>
      <w:pPr>
        <w:pStyle w:val="Heading3"/>
        <w:keepNext/>
        <w:keepLines/>
      </w:pPr>
      <w:r>
        <w:rPr>
          <w:rFonts w:ascii="Calibri" w:hAnsi="Calibri" w:eastAsia="Microsoft YaHei"/>
          <w:b/>
          <w:color w:val="17365D"/>
          <w:sz w:val="24"/>
        </w:rPr>
        <w:t>质量指标</w:t>
      </w:r>
    </w:p>
    <w:p>
      <w:pPr>
        <w:pStyle w:val="ListBullet"/>
        <w:keepLines/>
      </w:pPr>
      <w:r>
        <w:rPr>
          <w:rFonts w:ascii="Calibri" w:hAnsi="Calibri" w:eastAsia="Microsoft YaHei"/>
          <w:b w:val="0"/>
          <w:color w:val="1F2937"/>
          <w:sz w:val="22"/>
        </w:rPr>
        <w:t>原件/页数/哈希完整性；</w:t>
      </w:r>
    </w:p>
    <w:p>
      <w:pPr>
        <w:pStyle w:val="ListBullet"/>
        <w:keepLines/>
      </w:pPr>
      <w:r>
        <w:rPr>
          <w:rFonts w:ascii="Calibri" w:hAnsi="Calibri" w:eastAsia="Microsoft YaHei"/>
          <w:b w:val="0"/>
          <w:color w:val="1F2937"/>
          <w:sz w:val="22"/>
        </w:rPr>
        <w:t>关键实体、事件、金额、日期的准确与召回；</w:t>
      </w:r>
    </w:p>
    <w:p>
      <w:pPr>
        <w:pStyle w:val="ListBullet"/>
        <w:keepLines/>
      </w:pPr>
      <w:r>
        <w:rPr>
          <w:rFonts w:ascii="Calibri" w:hAnsi="Calibri" w:eastAsia="Microsoft YaHei"/>
          <w:b w:val="0"/>
          <w:color w:val="1F2937"/>
          <w:sz w:val="22"/>
        </w:rPr>
        <w:t>重要命题来源覆盖率；</w:t>
      </w:r>
    </w:p>
    <w:p>
      <w:pPr>
        <w:pStyle w:val="ListBullet"/>
        <w:keepLines/>
      </w:pPr>
      <w:r>
        <w:rPr>
          <w:rFonts w:ascii="Calibri" w:hAnsi="Calibri" w:eastAsia="Microsoft YaHei"/>
          <w:b w:val="0"/>
          <w:color w:val="1F2937"/>
          <w:sz w:val="22"/>
        </w:rPr>
        <w:t>引证存在、有效、时点正确和命题支持率；</w:t>
      </w:r>
    </w:p>
    <w:p>
      <w:pPr>
        <w:pStyle w:val="ListBullet"/>
        <w:keepLines/>
      </w:pPr>
      <w:r>
        <w:rPr>
          <w:rFonts w:ascii="Calibri" w:hAnsi="Calibri" w:eastAsia="Microsoft YaHei"/>
          <w:b w:val="0"/>
          <w:color w:val="1F2937"/>
          <w:sz w:val="22"/>
        </w:rPr>
        <w:t>未支持陈述率、虚构引证数；</w:t>
      </w:r>
    </w:p>
    <w:p>
      <w:pPr>
        <w:pStyle w:val="ListBullet"/>
        <w:keepLines/>
      </w:pPr>
      <w:r>
        <w:rPr>
          <w:rFonts w:ascii="Calibri" w:hAnsi="Calibri" w:eastAsia="Microsoft YaHei"/>
          <w:b w:val="0"/>
          <w:color w:val="1F2937"/>
          <w:sz w:val="22"/>
        </w:rPr>
        <w:t>律师修改率、驳回率、严重错误率；</w:t>
      </w:r>
    </w:p>
    <w:p>
      <w:pPr>
        <w:pStyle w:val="ListBullet"/>
        <w:keepLines/>
      </w:pPr>
      <w:r>
        <w:rPr>
          <w:rFonts w:ascii="Calibri" w:hAnsi="Calibri" w:eastAsia="Microsoft YaHei"/>
          <w:b w:val="0"/>
          <w:color w:val="1F2937"/>
          <w:sz w:val="22"/>
        </w:rPr>
        <w:t>反向权威和不利事实披露率。</w:t>
      </w:r>
    </w:p>
    <w:p>
      <w:pPr>
        <w:pStyle w:val="Heading3"/>
        <w:keepNext/>
        <w:keepLines/>
      </w:pPr>
      <w:r>
        <w:rPr>
          <w:rFonts w:ascii="Calibri" w:hAnsi="Calibri" w:eastAsia="Microsoft YaHei"/>
          <w:b/>
          <w:color w:val="17365D"/>
          <w:sz w:val="24"/>
        </w:rPr>
        <w:t>风险指标</w:t>
      </w:r>
    </w:p>
    <w:p>
      <w:pPr>
        <w:pStyle w:val="ListBullet"/>
        <w:keepLines/>
      </w:pPr>
      <w:r>
        <w:rPr>
          <w:rFonts w:ascii="Calibri" w:hAnsi="Calibri" w:eastAsia="Microsoft YaHei"/>
          <w:b w:val="0"/>
          <w:color w:val="1F2937"/>
          <w:sz w:val="22"/>
        </w:rPr>
        <w:t>越权请求、跨案件检索和阻断数；</w:t>
      </w:r>
    </w:p>
    <w:p>
      <w:pPr>
        <w:pStyle w:val="ListBullet"/>
        <w:keepLines/>
      </w:pPr>
      <w:r>
        <w:rPr>
          <w:rFonts w:ascii="Calibri" w:hAnsi="Calibri" w:eastAsia="Microsoft YaHei"/>
          <w:b w:val="0"/>
          <w:color w:val="1F2937"/>
          <w:sz w:val="22"/>
        </w:rPr>
        <w:t>提示注入检测与攻击成功数；</w:t>
      </w:r>
    </w:p>
    <w:p>
      <w:pPr>
        <w:pStyle w:val="ListBullet"/>
        <w:keepLines/>
      </w:pPr>
      <w:r>
        <w:rPr>
          <w:rFonts w:ascii="Calibri" w:hAnsi="Calibri" w:eastAsia="Microsoft YaHei"/>
          <w:b w:val="0"/>
          <w:color w:val="1F2937"/>
          <w:sz w:val="22"/>
        </w:rPr>
        <w:t>进入错误模型/区域的数据事件；</w:t>
      </w:r>
    </w:p>
    <w:p>
      <w:pPr>
        <w:pStyle w:val="ListBullet"/>
        <w:keepLines/>
      </w:pPr>
      <w:r>
        <w:rPr>
          <w:rFonts w:ascii="Calibri" w:hAnsi="Calibri" w:eastAsia="Microsoft YaHei"/>
          <w:b w:val="0"/>
          <w:color w:val="1F2937"/>
          <w:sz w:val="22"/>
        </w:rPr>
        <w:t>未批准外发、审计缺失和原件完整性事件；</w:t>
      </w:r>
    </w:p>
    <w:p>
      <w:pPr>
        <w:pStyle w:val="ListBullet"/>
        <w:keepLines/>
      </w:pPr>
      <w:r>
        <w:rPr>
          <w:rFonts w:ascii="Calibri" w:hAnsi="Calibri" w:eastAsia="Microsoft YaHei"/>
          <w:b w:val="0"/>
          <w:color w:val="1F2937"/>
          <w:sz w:val="22"/>
        </w:rPr>
        <w:t>高危漏洞修复时间；</w:t>
      </w:r>
    </w:p>
    <w:p>
      <w:pPr>
        <w:pStyle w:val="ListBullet"/>
        <w:keepLines/>
      </w:pPr>
      <w:r>
        <w:rPr>
          <w:rFonts w:ascii="Calibri" w:hAnsi="Calibri" w:eastAsia="Microsoft YaHei"/>
          <w:b w:val="0"/>
          <w:color w:val="1F2937"/>
          <w:sz w:val="22"/>
        </w:rPr>
        <w:t>供应商/模型/插件变更未评估数；</w:t>
      </w:r>
    </w:p>
    <w:p>
      <w:pPr>
        <w:pStyle w:val="ListBullet"/>
        <w:keepLines/>
      </w:pPr>
      <w:r>
        <w:rPr>
          <w:rFonts w:ascii="Calibri" w:hAnsi="Calibri" w:eastAsia="Microsoft YaHei"/>
          <w:b w:val="0"/>
          <w:color w:val="1F2937"/>
          <w:sz w:val="22"/>
        </w:rPr>
        <w:t>个人信息请求和事件响应时长。</w:t>
      </w:r>
    </w:p>
    <w:p>
      <w:pPr>
        <w:pStyle w:val="Heading3"/>
        <w:keepNext/>
        <w:keepLines/>
      </w:pPr>
      <w:r>
        <w:rPr>
          <w:rFonts w:ascii="Calibri" w:hAnsi="Calibri" w:eastAsia="Microsoft YaHei"/>
          <w:b/>
          <w:color w:val="17365D"/>
          <w:sz w:val="24"/>
        </w:rPr>
        <w:t>采用指标</w:t>
      </w:r>
    </w:p>
    <w:p>
      <w:pPr>
        <w:pStyle w:val="ListBullet"/>
        <w:keepLines/>
      </w:pPr>
      <w:r>
        <w:rPr>
          <w:rFonts w:ascii="Calibri" w:hAnsi="Calibri" w:eastAsia="Microsoft YaHei"/>
          <w:b w:val="0"/>
          <w:color w:val="1F2937"/>
          <w:sz w:val="22"/>
        </w:rPr>
        <w:t>激活机构、周活团队、活跃案件；</w:t>
      </w:r>
    </w:p>
    <w:p>
      <w:pPr>
        <w:pStyle w:val="ListBullet"/>
        <w:keepLines/>
      </w:pPr>
      <w:r>
        <w:rPr>
          <w:rFonts w:ascii="Calibri" w:hAnsi="Calibri" w:eastAsia="Microsoft YaHei"/>
          <w:b w:val="0"/>
          <w:color w:val="1F2937"/>
          <w:sz w:val="22"/>
        </w:rPr>
        <w:t>每周完成工作包和复核积压；</w:t>
      </w:r>
    </w:p>
    <w:p>
      <w:pPr>
        <w:pStyle w:val="ListBullet"/>
        <w:keepLines/>
      </w:pPr>
      <w:r>
        <w:rPr>
          <w:rFonts w:ascii="Calibri" w:hAnsi="Calibri" w:eastAsia="Microsoft YaHei"/>
          <w:b w:val="0"/>
          <w:color w:val="1F2937"/>
          <w:sz w:val="22"/>
        </w:rPr>
        <w:t>功能从“生成”到“律师批准”的转化；</w:t>
      </w:r>
    </w:p>
    <w:p>
      <w:pPr>
        <w:pStyle w:val="ListBullet"/>
        <w:keepLines/>
      </w:pPr>
      <w:r>
        <w:rPr>
          <w:rFonts w:ascii="Calibri" w:hAnsi="Calibri" w:eastAsia="Microsoft YaHei"/>
          <w:b w:val="0"/>
          <w:color w:val="1F2937"/>
          <w:sz w:val="22"/>
        </w:rPr>
        <w:t>新用户首个案件完成时间；</w:t>
      </w:r>
    </w:p>
    <w:p>
      <w:pPr>
        <w:pStyle w:val="ListBullet"/>
        <w:keepLines/>
      </w:pPr>
      <w:r>
        <w:rPr>
          <w:rFonts w:ascii="Calibri" w:hAnsi="Calibri" w:eastAsia="Microsoft YaHei"/>
          <w:b w:val="0"/>
          <w:color w:val="1F2937"/>
          <w:sz w:val="22"/>
        </w:rPr>
        <w:t>连续四周使用的团队比例；</w:t>
      </w:r>
    </w:p>
    <w:p>
      <w:pPr>
        <w:pStyle w:val="ListBullet"/>
        <w:keepLines/>
      </w:pPr>
      <w:r>
        <w:rPr>
          <w:rFonts w:ascii="Calibri" w:hAnsi="Calibri" w:eastAsia="Microsoft YaHei"/>
          <w:b w:val="0"/>
          <w:color w:val="1F2937"/>
          <w:sz w:val="22"/>
        </w:rPr>
        <w:t>用户按角色留存，而非只看机构登录。</w:t>
      </w:r>
    </w:p>
    <w:p>
      <w:pPr>
        <w:pStyle w:val="Heading3"/>
        <w:keepNext/>
        <w:keepLines/>
      </w:pPr>
      <w:r>
        <w:rPr>
          <w:rFonts w:ascii="Calibri" w:hAnsi="Calibri" w:eastAsia="Microsoft YaHei"/>
          <w:b/>
          <w:color w:val="17365D"/>
          <w:sz w:val="24"/>
        </w:rPr>
        <w:t>商业指标</w:t>
      </w:r>
    </w:p>
    <w:p>
      <w:pPr>
        <w:pStyle w:val="ListBullet"/>
        <w:keepLines/>
      </w:pPr>
      <w:r>
        <w:rPr>
          <w:rFonts w:ascii="Calibri" w:hAnsi="Calibri" w:eastAsia="Microsoft YaHei"/>
          <w:b w:val="0"/>
          <w:color w:val="1F2937"/>
          <w:sz w:val="22"/>
        </w:rPr>
        <w:t>付费试点、试点转年单、ACV；</w:t>
      </w:r>
    </w:p>
    <w:p>
      <w:pPr>
        <w:pStyle w:val="ListBullet"/>
        <w:keepLines/>
      </w:pPr>
      <w:r>
        <w:rPr>
          <w:rFonts w:ascii="Calibri" w:hAnsi="Calibri" w:eastAsia="Microsoft YaHei"/>
          <w:b w:val="0"/>
          <w:color w:val="1F2937"/>
          <w:sz w:val="22"/>
        </w:rPr>
        <w:t>ARR、GRR、NRR、扩席位与用量；</w:t>
      </w:r>
    </w:p>
    <w:p>
      <w:pPr>
        <w:pStyle w:val="ListBullet"/>
        <w:keepLines/>
      </w:pPr>
      <w:r>
        <w:rPr>
          <w:rFonts w:ascii="Calibri" w:hAnsi="Calibri" w:eastAsia="Microsoft YaHei"/>
          <w:b w:val="0"/>
          <w:color w:val="1F2937"/>
          <w:sz w:val="22"/>
        </w:rPr>
        <w:t>销售周期、CAC、CAC 回收；</w:t>
      </w:r>
    </w:p>
    <w:p>
      <w:pPr>
        <w:pStyle w:val="ListBullet"/>
        <w:keepLines/>
      </w:pPr>
      <w:r>
        <w:rPr>
          <w:rFonts w:ascii="Calibri" w:hAnsi="Calibri" w:eastAsia="Microsoft YaHei"/>
          <w:b w:val="0"/>
          <w:color w:val="1F2937"/>
          <w:sz w:val="22"/>
        </w:rPr>
        <w:t>综合/分 SKU 毛利；</w:t>
      </w:r>
    </w:p>
    <w:p>
      <w:pPr>
        <w:pStyle w:val="ListBullet"/>
        <w:keepLines/>
      </w:pPr>
      <w:r>
        <w:rPr>
          <w:rFonts w:ascii="Calibri" w:hAnsi="Calibri" w:eastAsia="Microsoft YaHei"/>
          <w:b w:val="0"/>
          <w:color w:val="1F2937"/>
          <w:sz w:val="22"/>
        </w:rPr>
        <w:t>模型/OCR/存储占收入；</w:t>
      </w:r>
    </w:p>
    <w:p>
      <w:pPr>
        <w:pStyle w:val="ListBullet"/>
        <w:keepLines/>
      </w:pPr>
      <w:r>
        <w:rPr>
          <w:rFonts w:ascii="Calibri" w:hAnsi="Calibri" w:eastAsia="Microsoft YaHei"/>
          <w:b w:val="0"/>
          <w:color w:val="1F2937"/>
          <w:sz w:val="22"/>
        </w:rPr>
        <w:t>私有化实施天数、定制比例和伙伴交付比例。</w:t>
      </w:r>
    </w:p>
    <w:p>
      <w:pPr>
        <w:pStyle w:val="Heading2"/>
        <w:keepNext/>
        <w:keepLines/>
      </w:pPr>
      <w:r>
        <w:rPr>
          <w:rFonts w:ascii="Calibri" w:hAnsi="Calibri" w:eastAsia="Microsoft YaHei"/>
          <w:b/>
          <w:color w:val="1F4E79"/>
          <w:sz w:val="26"/>
        </w:rPr>
        <w:t>13.2 指标防作弊</w:t>
      </w:r>
    </w:p>
    <w:p>
      <w:pPr>
        <w:pStyle w:val="ListBullet"/>
        <w:keepLines/>
      </w:pPr>
      <w:r>
        <w:rPr>
          <w:rFonts w:ascii="Calibri" w:hAnsi="Calibri" w:eastAsia="Microsoft YaHei"/>
          <w:b w:val="0"/>
          <w:color w:val="1F2937"/>
          <w:sz w:val="22"/>
        </w:rPr>
        <w:t>节省工时必须包含复核和返工，不能只测生成时间；</w:t>
      </w:r>
    </w:p>
    <w:p>
      <w:pPr>
        <w:pStyle w:val="ListBullet"/>
        <w:keepLines/>
      </w:pPr>
      <w:r>
        <w:rPr>
          <w:rFonts w:ascii="Calibri" w:hAnsi="Calibri" w:eastAsia="Microsoft YaHei"/>
          <w:b w:val="0"/>
          <w:color w:val="1F2937"/>
          <w:sz w:val="22"/>
        </w:rPr>
        <w:t>采纳率不能把“用户没有修改”自动视为正确，需抽样复核；</w:t>
      </w:r>
    </w:p>
    <w:p>
      <w:pPr>
        <w:pStyle w:val="ListBullet"/>
        <w:keepLines/>
      </w:pPr>
      <w:r>
        <w:rPr>
          <w:rFonts w:ascii="Calibri" w:hAnsi="Calibri" w:eastAsia="Microsoft YaHei"/>
          <w:b w:val="0"/>
          <w:color w:val="1F2937"/>
          <w:sz w:val="22"/>
        </w:rPr>
        <w:t>引用覆盖不能只检查是否有脚注，要检查脚注是否支持具体命题；</w:t>
      </w:r>
    </w:p>
    <w:p>
      <w:pPr>
        <w:pStyle w:val="ListBullet"/>
        <w:keepLines/>
      </w:pPr>
      <w:r>
        <w:rPr>
          <w:rFonts w:ascii="Calibri" w:hAnsi="Calibri" w:eastAsia="Microsoft YaHei"/>
          <w:b w:val="0"/>
          <w:color w:val="1F2937"/>
          <w:sz w:val="22"/>
        </w:rPr>
        <w:t>工作包数量必须达到最低完整度，不能用空壳任务刷量；</w:t>
      </w:r>
    </w:p>
    <w:p>
      <w:pPr>
        <w:pStyle w:val="ListBullet"/>
        <w:keepLines/>
      </w:pPr>
      <w:r>
        <w:rPr>
          <w:rFonts w:ascii="Calibri" w:hAnsi="Calibri" w:eastAsia="Microsoft YaHei"/>
          <w:b w:val="0"/>
          <w:color w:val="1F2937"/>
          <w:sz w:val="22"/>
        </w:rPr>
        <w:t>安全事件以严重度和影响呈现，不能只报总数；</w:t>
      </w:r>
    </w:p>
    <w:p>
      <w:pPr>
        <w:pStyle w:val="ListBullet"/>
        <w:keepLines/>
      </w:pPr>
      <w:r>
        <w:rPr>
          <w:rFonts w:ascii="Calibri" w:hAnsi="Calibri" w:eastAsia="Microsoft YaHei"/>
          <w:b w:val="0"/>
          <w:color w:val="1F2937"/>
          <w:sz w:val="22"/>
        </w:rPr>
        <w:t>ARR 与一次性实施收入分开；</w:t>
      </w:r>
    </w:p>
    <w:p>
      <w:pPr>
        <w:pStyle w:val="ListBullet"/>
        <w:keepLines/>
      </w:pPr>
      <w:r>
        <w:rPr>
          <w:rFonts w:ascii="Calibri" w:hAnsi="Calibri" w:eastAsia="Microsoft YaHei"/>
          <w:b w:val="0"/>
          <w:color w:val="1F2937"/>
          <w:sz w:val="22"/>
        </w:rPr>
        <w:t>私有化大单不能掩盖标准 SKU 低留存和低毛利。</w:t>
      </w:r>
    </w:p>
    <w:p>
      <w:pPr>
        <w:pStyle w:val="Heading2"/>
        <w:keepNext/>
        <w:keepLines/>
      </w:pPr>
      <w:r>
        <w:rPr>
          <w:rFonts w:ascii="Calibri" w:hAnsi="Calibri" w:eastAsia="Microsoft YaHei"/>
          <w:b/>
          <w:color w:val="1F4E79"/>
          <w:sz w:val="26"/>
        </w:rPr>
        <w:t>13.3 管理看板频率</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174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频率</w:t>
            </w:r>
          </w:p>
        </w:tc>
        <w:tc>
          <w:tcPr>
            <w:tcW w:type="dxa" w:w="5374"/>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指标</w:t>
            </w:r>
          </w:p>
        </w:tc>
        <w:tc>
          <w:tcPr>
            <w:tcW w:type="dxa" w:w="223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负责人</w:t>
            </w:r>
          </w:p>
        </w:tc>
      </w:tr>
      <w:tr>
        <w:trPr>
          <w:cantSplit/>
        </w:trPr>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实时/每日</w:t>
            </w:r>
          </w:p>
        </w:tc>
        <w:tc>
          <w:tcPr>
            <w:tcW w:type="dxa" w:w="537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安全、越权、模型错误路由、服务可用性、成本异常</w:t>
            </w:r>
          </w:p>
        </w:tc>
        <w:tc>
          <w:tcPr>
            <w:tcW w:type="dxa" w:w="223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安全/SRE</w:t>
            </w:r>
          </w:p>
        </w:tc>
      </w:tr>
      <w:tr>
        <w:trPr>
          <w:cantSplit/>
        </w:trPr>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每周</w:t>
            </w:r>
          </w:p>
        </w:tc>
        <w:tc>
          <w:tcPr>
            <w:tcW w:type="dxa" w:w="537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工作包、净工时、复核积压、质量回归、客户阻塞</w:t>
            </w:r>
          </w:p>
        </w:tc>
        <w:tc>
          <w:tcPr>
            <w:tcW w:type="dxa" w:w="223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产品/法律/客户成功</w:t>
            </w:r>
          </w:p>
        </w:tc>
      </w:tr>
      <w:tr>
        <w:trPr>
          <w:cantSplit/>
        </w:trPr>
        <w:tc>
          <w:tcPr>
            <w:tcW w:type="dxa" w:w="174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每月</w:t>
            </w:r>
          </w:p>
        </w:tc>
        <w:tc>
          <w:tcPr>
            <w:tcW w:type="dxa" w:w="5374"/>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激活、留存、试点转化、ARR、毛利、供应商</w:t>
            </w:r>
          </w:p>
        </w:tc>
        <w:tc>
          <w:tcPr>
            <w:tcW w:type="dxa" w:w="223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管理团队</w:t>
            </w:r>
          </w:p>
        </w:tc>
      </w:tr>
      <w:tr>
        <w:trPr>
          <w:cantSplit/>
        </w:trPr>
        <w:tc>
          <w:tcPr>
            <w:tcW w:type="dxa" w:w="174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每季度</w:t>
            </w:r>
          </w:p>
        </w:tc>
        <w:tc>
          <w:tcPr>
            <w:tcW w:type="dxa" w:w="5374"/>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NRR/GRR、CAC 回收、红队、灾备、路线图、预算</w:t>
            </w:r>
          </w:p>
        </w:tc>
        <w:tc>
          <w:tcPr>
            <w:tcW w:type="dxa" w:w="223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董事会/治理委员会</w:t>
            </w:r>
          </w:p>
        </w:tc>
      </w:tr>
    </w:tbl>
    <w:p>
      <w:pPr>
        <w:spacing w:after="0"/>
      </w:pPr>
    </w:p>
    <w:p>
      <w:pPr>
        <w:pStyle w:val="Heading1"/>
        <w:keepNext/>
        <w:keepLines/>
      </w:pPr>
      <w:r>
        <w:rPr>
          <w:rFonts w:ascii="Calibri" w:hAnsi="Calibri" w:eastAsia="Microsoft YaHei"/>
          <w:b/>
          <w:color w:val="1F4E79"/>
          <w:sz w:val="32"/>
        </w:rPr>
        <w:t>十四、主要风险、反方观点与应对</w:t>
      </w:r>
    </w:p>
    <w:p>
      <w:pPr>
        <w:pStyle w:val="Heading2"/>
        <w:keepNext/>
        <w:keepLines/>
      </w:pPr>
      <w:r>
        <w:rPr>
          <w:rFonts w:ascii="Calibri" w:hAnsi="Calibri" w:eastAsia="Microsoft YaHei"/>
          <w:b/>
          <w:color w:val="1F4E79"/>
          <w:sz w:val="26"/>
        </w:rPr>
        <w:t>14.1 风险登记册</w:t>
      </w:r>
    </w:p>
    <w:p>
      <w:r>
        <w:rPr>
          <w:rFonts w:ascii="Calibri" w:hAnsi="Calibri" w:eastAsia="Microsoft YaHei"/>
          <w:b w:val="0"/>
          <w:color w:val="1F2937"/>
          <w:sz w:val="22"/>
        </w:rPr>
        <w:t>评分：概率 P 和影响 I 均为 1—5；优先级 = P×I。上线前应指定真实姓名负责人和下次复审日。</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337"/>
        <w:gridCol w:w="1337"/>
        <w:gridCol w:w="1337"/>
        <w:gridCol w:w="1337"/>
        <w:gridCol w:w="1337"/>
        <w:gridCol w:w="1337"/>
        <w:gridCol w:w="1337"/>
      </w:tblGrid>
      <w:tr>
        <w:trPr>
          <w:cantSplit/>
          <w:tblHeader w:val="true"/>
        </w:trPr>
        <w:tc>
          <w:tcPr>
            <w:tcW w:type="dxa" w:w="63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w:t>
            </w:r>
          </w:p>
        </w:tc>
        <w:tc>
          <w:tcPr>
            <w:tcW w:type="dxa" w:w="2032"/>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风险</w:t>
            </w:r>
          </w:p>
        </w:tc>
        <w:tc>
          <w:tcPr>
            <w:tcW w:type="dxa" w:w="63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P</w:t>
            </w:r>
          </w:p>
        </w:tc>
        <w:tc>
          <w:tcPr>
            <w:tcW w:type="dxa" w:w="637"/>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I</w:t>
            </w:r>
          </w:p>
        </w:tc>
        <w:tc>
          <w:tcPr>
            <w:tcW w:type="dxa" w:w="191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早期信号</w:t>
            </w:r>
          </w:p>
        </w:tc>
        <w:tc>
          <w:tcPr>
            <w:tcW w:type="dxa" w:w="270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预防/缓解</w:t>
            </w:r>
          </w:p>
        </w:tc>
        <w:tc>
          <w:tcPr>
            <w:tcW w:type="dxa" w:w="790"/>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4"/>
              </w:rPr>
              <w:t>责任角色</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AI 复核成本吃掉节省</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修改率高、律师回到原工具</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来源并排、只审高风险项；以净工时做门禁</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产品/法律</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2</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虚构或过期法源导致执业事故</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引证校验失败、供应商更新延迟</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权威数据、时点版本、零虚构门禁、双源抽检</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法律/知识</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3</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客户案件或敏感信息泄露</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异常导出、错误路由、权限告警</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案件密钥、最小权限、境内路由、DLP、红队</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CISO</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跨案件/伦理墙失效</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2</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检索出现无关客户实体</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服务端强制作用域、负向 E2E、蜜标</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架构/安全</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文档提示注入驱动工具越权</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材料中出现控制语句、异常动作意图</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文档不作指令、无 Shell、工具白名单、审批</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AI/安全</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6</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公众产品触发更重监管</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销售要求开放匿名咨询/获客机器人</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产品形态变更需法律门禁；先 B2B</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CEO/法务</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7</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“数字律师”品牌被认定误导或引发反感</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客户问执业证/责任，协会关注</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专业工作台定位、律师负责、审查营销</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市场/法律</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8</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法律数据库授权成本过高或被断供</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API 报价超预算、限制缓存/展示</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多供应商、开放权威库核验、合同退出和缓存权</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商务/知识</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9</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通用模型快速商品化功能</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客户称通用模型已可摘要/起草</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押注案件系统、治理、数据模型、集成和评测</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产品</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10</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私有化定制拖垮毛利和版本</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分支版本增多、每单手工部署</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标准包、配置化、例外委员会、伙伴交付</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CTO/COO</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11</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律所按工时收费，缺乏提效激励</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合伙人担心可计费小时下降</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卖容量、响应、质量和固定费盈利；展示新增业务</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CEO/销售</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12</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一线律师抵触或影子 AI 并存</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登录少、材料仍贴到公用模型</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工作流内嵌、培训、超级用户、政策与替代路径</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客成</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13</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多智能体增加成本与错误传播</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调用暴涨、结论循环、任务重复</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状态机、预算、最少角色、确定性验证、可取消</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AI/平台</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14</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模型/供应商政策或服务变化</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价格、区域、留存条款变化</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模型网关、多供应商、可回归切换、合同通知</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模型负责人</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15</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原件/OCR 错误污染后续结论</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页数不一致、金额列错误</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原件分离、页级质量、人工抽检、结构化校验</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文档工程</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16</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数据保留与客户删除/法律保全冲突</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删除请求命中在办案或备份</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保留策略引擎、法律保全优先、可验证清除</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隐私/平台</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17</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插件/连接器供应链攻击</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权限范围扩大、签名异常</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签名、版本锁定、隔离、最小 OAuth、SBOM</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安全</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18</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关键法律/AI 人才缺失</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评测争议无人裁决、产品脱离实务</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资深法律负责人、外部委员会、客户共创</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CEO</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19</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采购周期长导致现金流断裂</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PoC 多、年单少、法务审查拖延</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付费试点、阶段融资、标准采购包、现金门禁</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CEO/CFO</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20</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过早进入刑事/家事/政府场景</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销售被单一大客户牵引</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案件分类硬阻断，董事会批准扩域</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产品/法律</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21</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客户误把系统输出直接对外使用</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草稿未经审批被下载/复制</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草稿显著状态、导出门、培训、合同与审计</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产品/客成</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22</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训练/评测数据授权不清</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无法说明样本来源或删除</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数据台账、授权、隔离、到期删除、审计</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数据/法务</w:t>
            </w:r>
          </w:p>
        </w:tc>
      </w:tr>
      <w:tr>
        <w:trPr>
          <w:cantSplit/>
        </w:trPr>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23</w:t>
            </w:r>
          </w:p>
        </w:tc>
        <w:tc>
          <w:tcPr>
            <w:tcW w:type="dxa" w:w="2032"/>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过度记录推理和提示形成新泄密面</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637"/>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4</w:t>
            </w:r>
          </w:p>
        </w:tc>
        <w:tc>
          <w:tcPr>
            <w:tcW w:type="dxa" w:w="191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日志含整份卷宗/敏感推理</w:t>
            </w:r>
          </w:p>
        </w:tc>
        <w:tc>
          <w:tcPr>
            <w:tcW w:type="dxa" w:w="270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数据最小化、哈希与字段日志、加密、分层保留</w:t>
            </w:r>
          </w:p>
        </w:tc>
        <w:tc>
          <w:tcPr>
            <w:tcW w:type="dxa" w:w="790"/>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4"/>
              </w:rPr>
              <w:t>安全/SRE</w:t>
            </w:r>
          </w:p>
        </w:tc>
      </w:tr>
      <w:tr>
        <w:trPr>
          <w:cantSplit/>
        </w:trPr>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24</w:t>
            </w:r>
          </w:p>
        </w:tc>
        <w:tc>
          <w:tcPr>
            <w:tcW w:type="dxa" w:w="2032"/>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责任和保险不足</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3</w:t>
            </w:r>
          </w:p>
        </w:tc>
        <w:tc>
          <w:tcPr>
            <w:tcW w:type="dxa" w:w="637"/>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5</w:t>
            </w:r>
          </w:p>
        </w:tc>
        <w:tc>
          <w:tcPr>
            <w:tcW w:type="dxa" w:w="191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客户要求无限赔偿、供应商免责</w:t>
            </w:r>
          </w:p>
        </w:tc>
        <w:tc>
          <w:tcPr>
            <w:tcW w:type="dxa" w:w="270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责任上限、专业/网络险、供应商追偿、事件流程</w:t>
            </w:r>
          </w:p>
        </w:tc>
        <w:tc>
          <w:tcPr>
            <w:tcW w:type="dxa" w:w="790"/>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4"/>
              </w:rPr>
              <w:t>法务/CFO</w:t>
            </w:r>
          </w:p>
        </w:tc>
      </w:tr>
    </w:tbl>
    <w:p>
      <w:pPr>
        <w:spacing w:after="0"/>
      </w:pPr>
    </w:p>
    <w:p>
      <w:pPr>
        <w:pStyle w:val="Heading2"/>
        <w:keepNext/>
        <w:keepLines/>
      </w:pPr>
      <w:r>
        <w:rPr>
          <w:rFonts w:ascii="Calibri" w:hAnsi="Calibri" w:eastAsia="Microsoft YaHei"/>
          <w:b/>
          <w:color w:val="1F4E79"/>
          <w:sz w:val="26"/>
        </w:rPr>
        <w:t>14.2 最强反方观点</w:t>
      </w:r>
    </w:p>
    <w:p>
      <w:pPr>
        <w:pStyle w:val="Heading3"/>
        <w:keepNext/>
        <w:keepLines/>
      </w:pPr>
      <w:r>
        <w:rPr>
          <w:rFonts w:ascii="Calibri" w:hAnsi="Calibri" w:eastAsia="Microsoft YaHei"/>
          <w:b/>
          <w:color w:val="17365D"/>
          <w:sz w:val="24"/>
        </w:rPr>
        <w:t>反方一：法律 AI 功能会被通用模型吞噬</w:t>
      </w:r>
    </w:p>
    <w:p>
      <w:r>
        <w:rPr>
          <w:rFonts w:ascii="Calibri" w:hAnsi="Calibri" w:eastAsia="Microsoft YaHei"/>
          <w:b/>
          <w:color w:val="1F2937"/>
          <w:sz w:val="22"/>
        </w:rPr>
        <w:t>成立一半。</w:t>
      </w:r>
      <w:r>
        <w:rPr>
          <w:rFonts w:ascii="Calibri" w:hAnsi="Calibri" w:eastAsia="Microsoft YaHei"/>
          <w:b w:val="0"/>
          <w:color w:val="1F2937"/>
          <w:sz w:val="22"/>
        </w:rPr>
        <w:t xml:space="preserve"> 摘要、问答、起草和多智能体编排会快速商品化；如果产品只包装模型，壁垒很弱。可持续价值必须落在案件系统记录、权威法源许可、权限/伦理墙、证据链、评测、部署和工作流集成。模型能力提升反而降低底层成本。</w:t>
      </w:r>
    </w:p>
    <w:p>
      <w:pPr>
        <w:pStyle w:val="Heading3"/>
        <w:keepNext/>
        <w:keepLines/>
      </w:pPr>
      <w:r>
        <w:rPr>
          <w:rFonts w:ascii="Calibri" w:hAnsi="Calibri" w:eastAsia="Microsoft YaHei"/>
          <w:b/>
          <w:color w:val="17365D"/>
          <w:sz w:val="24"/>
        </w:rPr>
        <w:t>反方二：律师复核一切，AI 就没有效率</w:t>
      </w:r>
    </w:p>
    <w:p>
      <w:r>
        <w:rPr>
          <w:rFonts w:ascii="Calibri" w:hAnsi="Calibri" w:eastAsia="Microsoft YaHei"/>
          <w:b/>
          <w:color w:val="1F2937"/>
          <w:sz w:val="22"/>
        </w:rPr>
        <w:t>这是最重要的可证伪假设。</w:t>
      </w:r>
      <w:r>
        <w:rPr>
          <w:rFonts w:ascii="Calibri" w:hAnsi="Calibri" w:eastAsia="Microsoft YaHei"/>
          <w:b w:val="0"/>
          <w:color w:val="1F2937"/>
          <w:sz w:val="22"/>
        </w:rPr>
        <w:t xml:space="preserve"> 如果系统只生成长文，复核成本可能高于从头写。解决方案不是取消复核，而是让复核变成逐条来源确认、只突出高风险变化，并先自动化结构化准备工作。若试点后净工时仍无法下降 30%，应停止扩大，而不是继续讲“模型会变好”。</w:t>
      </w:r>
    </w:p>
    <w:p>
      <w:pPr>
        <w:pStyle w:val="Heading3"/>
        <w:keepNext/>
        <w:keepLines/>
      </w:pPr>
      <w:r>
        <w:rPr>
          <w:rFonts w:ascii="Calibri" w:hAnsi="Calibri" w:eastAsia="Microsoft YaHei"/>
          <w:b/>
          <w:color w:val="17365D"/>
          <w:sz w:val="24"/>
        </w:rPr>
        <w:t>反方三：律所靠小时收费，没有动力省时间</w:t>
      </w:r>
    </w:p>
    <w:p>
      <w:r>
        <w:rPr>
          <w:rFonts w:ascii="Calibri" w:hAnsi="Calibri" w:eastAsia="Microsoft YaHei"/>
          <w:b w:val="0"/>
          <w:color w:val="1F2937"/>
          <w:sz w:val="22"/>
        </w:rPr>
        <w:t>部分客户确有冲突，但固定费、封顶费、企业客户压价、响应时限和人才短缺都在创造提效需求。选择案件容量受限、合伙人复核负担高、愿意做固定费/产品化服务的团队；不要把“减少可计费小时”作为唯一价值主张。</w:t>
      </w:r>
    </w:p>
    <w:p>
      <w:pPr>
        <w:pStyle w:val="Heading3"/>
        <w:keepNext/>
        <w:keepLines/>
      </w:pPr>
      <w:r>
        <w:rPr>
          <w:rFonts w:ascii="Calibri" w:hAnsi="Calibri" w:eastAsia="Microsoft YaHei"/>
          <w:b/>
          <w:color w:val="17365D"/>
          <w:sz w:val="24"/>
        </w:rPr>
        <w:t>反方四：本地部署才能安全，SaaS 没市场</w:t>
      </w:r>
    </w:p>
    <w:p>
      <w:r>
        <w:rPr>
          <w:rFonts w:ascii="Calibri" w:hAnsi="Calibri" w:eastAsia="Microsoft YaHei"/>
          <w:b w:val="0"/>
          <w:color w:val="1F2937"/>
          <w:sz w:val="22"/>
        </w:rPr>
        <w:t>极高敏数据确实需要专属/本地路径，但本地部署本身不自动安全：补丁、人员、备份、密钥和供应链能力可能更弱。产品应按数据级别提供 SaaS、专属云和私有化，而不是把部署方式当作安全替代品。</w:t>
      </w:r>
    </w:p>
    <w:p>
      <w:pPr>
        <w:pStyle w:val="Heading3"/>
        <w:keepNext/>
        <w:keepLines/>
      </w:pPr>
      <w:r>
        <w:rPr>
          <w:rFonts w:ascii="Calibri" w:hAnsi="Calibri" w:eastAsia="Microsoft YaHei"/>
          <w:b/>
          <w:color w:val="17365D"/>
          <w:sz w:val="24"/>
        </w:rPr>
        <w:t>反方五：国内法律数据不完整，无法可靠研究</w:t>
      </w:r>
    </w:p>
    <w:p>
      <w:r>
        <w:rPr>
          <w:rFonts w:ascii="Calibri" w:hAnsi="Calibri" w:eastAsia="Microsoft YaHei"/>
          <w:b w:val="0"/>
          <w:color w:val="1F2937"/>
          <w:sz w:val="22"/>
        </w:rPr>
        <w:t>这是实质限制。应把“检索边界和未知”作为输出，优先权威法源与入库案例，通过商业数据库补充，并禁止把数据缺失解释为“没有相关案例”。产品第一价值也因此应从客户自己的案件事实和证据开始，而不是声称穷尽全国裁判。</w:t>
      </w:r>
    </w:p>
    <w:p>
      <w:pPr>
        <w:pStyle w:val="Heading2"/>
        <w:keepNext/>
        <w:keepLines/>
      </w:pPr>
      <w:r>
        <w:rPr>
          <w:rFonts w:ascii="Calibri" w:hAnsi="Calibri" w:eastAsia="Microsoft YaHei"/>
          <w:b/>
          <w:color w:val="1F4E79"/>
          <w:sz w:val="26"/>
        </w:rPr>
        <w:t>14.3 停止、转向与扩张条件</w:t>
      </w:r>
    </w:p>
    <w:p>
      <w:pPr>
        <w:pStyle w:val="Heading3"/>
        <w:keepNext/>
        <w:keepLines/>
      </w:pPr>
      <w:r>
        <w:rPr>
          <w:rFonts w:ascii="Calibri" w:hAnsi="Calibri" w:eastAsia="Microsoft YaHei"/>
          <w:b/>
          <w:color w:val="17365D"/>
          <w:sz w:val="24"/>
        </w:rPr>
        <w:t>停止（Kill）</w:t>
      </w:r>
    </w:p>
    <w:p>
      <w:r>
        <w:rPr>
          <w:rFonts w:ascii="Calibri" w:hAnsi="Calibri" w:eastAsia="Microsoft YaHei"/>
          <w:b w:val="0"/>
          <w:color w:val="1F2937"/>
          <w:sz w:val="22"/>
        </w:rPr>
        <w:t>出现以下任一情形，应暂停新增客户并由管理层评审：</w:t>
      </w:r>
    </w:p>
    <w:p>
      <w:pPr>
        <w:pStyle w:val="ListBullet"/>
        <w:keepLines/>
      </w:pPr>
      <w:r>
        <w:rPr>
          <w:rFonts w:ascii="Calibri" w:hAnsi="Calibri" w:eastAsia="Microsoft YaHei"/>
          <w:b w:val="0"/>
          <w:color w:val="1F2937"/>
          <w:sz w:val="22"/>
        </w:rPr>
        <w:t>三轮改进后，完整复核口径的净工时节省中位数仍低于 20%；</w:t>
      </w:r>
    </w:p>
    <w:p>
      <w:pPr>
        <w:pStyle w:val="ListBullet"/>
        <w:keepLines/>
      </w:pPr>
      <w:r>
        <w:rPr>
          <w:rFonts w:ascii="Calibri" w:hAnsi="Calibri" w:eastAsia="Microsoft YaHei"/>
          <w:b w:val="0"/>
          <w:color w:val="1F2937"/>
          <w:sz w:val="22"/>
        </w:rPr>
        <w:t>虚构法源或跨案件泄露在相同根因修复后重复发生；</w:t>
      </w:r>
    </w:p>
    <w:p>
      <w:pPr>
        <w:pStyle w:val="ListBullet"/>
        <w:keepLines/>
      </w:pPr>
      <w:r>
        <w:rPr>
          <w:rFonts w:ascii="Calibri" w:hAnsi="Calibri" w:eastAsia="Microsoft YaHei"/>
          <w:b w:val="0"/>
          <w:color w:val="1F2937"/>
          <w:sz w:val="22"/>
        </w:rPr>
        <w:t>无法取得合法且商业可承受的核心法源；</w:t>
      </w:r>
    </w:p>
    <w:p>
      <w:pPr>
        <w:pStyle w:val="ListBullet"/>
        <w:keepLines/>
      </w:pPr>
      <w:r>
        <w:rPr>
          <w:rFonts w:ascii="Calibri" w:hAnsi="Calibri" w:eastAsia="Microsoft YaHei"/>
          <w:b w:val="0"/>
          <w:color w:val="1F2937"/>
          <w:sz w:val="22"/>
        </w:rPr>
        <w:t>8 个试点后少于 3 个年度付费客户；</w:t>
      </w:r>
    </w:p>
    <w:p>
      <w:pPr>
        <w:pStyle w:val="ListBullet"/>
        <w:keepLines/>
      </w:pPr>
      <w:r>
        <w:rPr>
          <w:rFonts w:ascii="Calibri" w:hAnsi="Calibri" w:eastAsia="Microsoft YaHei"/>
          <w:b w:val="0"/>
          <w:color w:val="1F2937"/>
          <w:sz w:val="22"/>
        </w:rPr>
        <w:t>单位模型/交付成本随使用增长而上升，且 2 个季度不能改善；</w:t>
      </w:r>
    </w:p>
    <w:p>
      <w:pPr>
        <w:pStyle w:val="ListBullet"/>
        <w:keepLines/>
      </w:pPr>
      <w:r>
        <w:rPr>
          <w:rFonts w:ascii="Calibri" w:hAnsi="Calibri" w:eastAsia="Microsoft YaHei"/>
          <w:b w:val="0"/>
          <w:color w:val="1F2937"/>
          <w:sz w:val="22"/>
        </w:rPr>
        <w:t>监管或行业意见使目标 B2B 形态需承担不可接受的许可/责任结构。</w:t>
      </w:r>
    </w:p>
    <w:p>
      <w:pPr>
        <w:pStyle w:val="Heading3"/>
        <w:keepNext/>
        <w:keepLines/>
      </w:pPr>
      <w:r>
        <w:rPr>
          <w:rFonts w:ascii="Calibri" w:hAnsi="Calibri" w:eastAsia="Microsoft YaHei"/>
          <w:b/>
          <w:color w:val="17365D"/>
          <w:sz w:val="24"/>
        </w:rPr>
        <w:t>转向（Pivot）</w:t>
      </w:r>
    </w:p>
    <w:p>
      <w:pPr>
        <w:pStyle w:val="ListBullet"/>
        <w:keepLines/>
      </w:pPr>
      <w:r>
        <w:rPr>
          <w:rFonts w:ascii="Calibri" w:hAnsi="Calibri" w:eastAsia="Microsoft YaHei"/>
          <w:b w:val="0"/>
          <w:color w:val="1F2937"/>
          <w:sz w:val="22"/>
        </w:rPr>
        <w:t>若法律研究不可控但事实/证据梳理强：转为“案件证据工程平台”，与法源产品合作；</w:t>
      </w:r>
    </w:p>
    <w:p>
      <w:pPr>
        <w:pStyle w:val="ListBullet"/>
        <w:keepLines/>
      </w:pPr>
      <w:r>
        <w:rPr>
          <w:rFonts w:ascii="Calibri" w:hAnsi="Calibri" w:eastAsia="Microsoft YaHei"/>
          <w:b w:val="0"/>
          <w:color w:val="1F2937"/>
          <w:sz w:val="22"/>
        </w:rPr>
        <w:t>若律所销售过慢但企业法务需求强：转向企业争议案件组合与外部律师协作；</w:t>
      </w:r>
    </w:p>
    <w:p>
      <w:pPr>
        <w:pStyle w:val="ListBullet"/>
        <w:keepLines/>
      </w:pPr>
      <w:r>
        <w:rPr>
          <w:rFonts w:ascii="Calibri" w:hAnsi="Calibri" w:eastAsia="Microsoft YaHei"/>
          <w:b w:val="0"/>
          <w:color w:val="1F2937"/>
          <w:sz w:val="22"/>
        </w:rPr>
        <w:t>若 SaaS 安全阻力过大：专注专属云/私有化并严格控制定制；</w:t>
      </w:r>
    </w:p>
    <w:p>
      <w:pPr>
        <w:pStyle w:val="ListBullet"/>
        <w:keepLines/>
      </w:pPr>
      <w:r>
        <w:rPr>
          <w:rFonts w:ascii="Calibri" w:hAnsi="Calibri" w:eastAsia="Microsoft YaHei"/>
          <w:b w:val="0"/>
          <w:color w:val="1F2937"/>
          <w:sz w:val="22"/>
        </w:rPr>
        <w:t>若通用商业合同场景价值弱：从试点数据选择建设工程、破产债权或电子取证式材料审阅中的单一高价值任务。</w:t>
      </w:r>
    </w:p>
    <w:p>
      <w:pPr>
        <w:pStyle w:val="Heading3"/>
        <w:keepNext/>
        <w:keepLines/>
      </w:pPr>
      <w:r>
        <w:rPr>
          <w:rFonts w:ascii="Calibri" w:hAnsi="Calibri" w:eastAsia="Microsoft YaHei"/>
          <w:b/>
          <w:color w:val="17365D"/>
          <w:sz w:val="24"/>
        </w:rPr>
        <w:t>扩张（Scale）</w:t>
      </w:r>
    </w:p>
    <w:p>
      <w:r>
        <w:rPr>
          <w:rFonts w:ascii="Calibri" w:hAnsi="Calibri" w:eastAsia="Microsoft YaHei"/>
          <w:b w:val="0"/>
          <w:color w:val="1F2937"/>
          <w:sz w:val="22"/>
        </w:rPr>
        <w:t>同时达到下列指标才增加第二案由和销售团队：</w:t>
      </w:r>
    </w:p>
    <w:p>
      <w:pPr>
        <w:pStyle w:val="ListBullet"/>
        <w:keepLines/>
      </w:pPr>
      <w:r>
        <w:rPr>
          <w:rFonts w:ascii="Calibri" w:hAnsi="Calibri" w:eastAsia="Microsoft YaHei"/>
          <w:b w:val="0"/>
          <w:color w:val="1F2937"/>
          <w:sz w:val="22"/>
        </w:rPr>
        <w:t>≥15 家付费机构、连续两个季度 GRR ≥90%；</w:t>
      </w:r>
    </w:p>
    <w:p>
      <w:pPr>
        <w:pStyle w:val="ListBullet"/>
        <w:keepLines/>
      </w:pPr>
      <w:r>
        <w:rPr>
          <w:rFonts w:ascii="Calibri" w:hAnsi="Calibri" w:eastAsia="Microsoft YaHei"/>
          <w:b w:val="0"/>
          <w:color w:val="1F2937"/>
          <w:sz w:val="22"/>
        </w:rPr>
        <w:t>≥100 个案件工作包，净工时节省中位 ≥30%；</w:t>
      </w:r>
    </w:p>
    <w:p>
      <w:pPr>
        <w:pStyle w:val="ListBullet"/>
        <w:keepLines/>
      </w:pPr>
      <w:r>
        <w:rPr>
          <w:rFonts w:ascii="Calibri" w:hAnsi="Calibri" w:eastAsia="Microsoft YaHei"/>
          <w:b w:val="0"/>
          <w:color w:val="1F2937"/>
          <w:sz w:val="22"/>
        </w:rPr>
        <w:t>虚构引证为零、无重大数据事件；</w:t>
      </w:r>
    </w:p>
    <w:p>
      <w:pPr>
        <w:pStyle w:val="ListBullet"/>
        <w:keepLines/>
      </w:pPr>
      <w:r>
        <w:rPr>
          <w:rFonts w:ascii="Calibri" w:hAnsi="Calibri" w:eastAsia="Microsoft YaHei"/>
          <w:b w:val="0"/>
          <w:color w:val="1F2937"/>
          <w:sz w:val="22"/>
        </w:rPr>
        <w:t>标准 SaaS 实施 &lt;14 天；</w:t>
      </w:r>
    </w:p>
    <w:p>
      <w:pPr>
        <w:pStyle w:val="ListBullet"/>
        <w:keepLines/>
      </w:pPr>
      <w:r>
        <w:rPr>
          <w:rFonts w:ascii="Calibri" w:hAnsi="Calibri" w:eastAsia="Microsoft YaHei"/>
          <w:b w:val="0"/>
          <w:color w:val="1F2937"/>
          <w:sz w:val="22"/>
        </w:rPr>
        <w:t>综合毛利 &gt;50%，模型/OCR 成本趋势下降；</w:t>
      </w:r>
    </w:p>
    <w:p>
      <w:pPr>
        <w:pStyle w:val="ListBullet"/>
        <w:keepLines/>
      </w:pPr>
      <w:r>
        <w:rPr>
          <w:rFonts w:ascii="Calibri" w:hAnsi="Calibri" w:eastAsia="Microsoft YaHei"/>
          <w:b w:val="0"/>
          <w:color w:val="1F2937"/>
          <w:sz w:val="22"/>
        </w:rPr>
        <w:t>至少 30% 新商机来自客户推荐或伙伴。</w:t>
      </w:r>
    </w:p>
    <w:p>
      <w:pPr>
        <w:pStyle w:val="Heading1"/>
        <w:keepNext/>
        <w:keepLines/>
      </w:pPr>
      <w:r>
        <w:rPr>
          <w:rFonts w:ascii="Calibri" w:hAnsi="Calibri" w:eastAsia="Microsoft YaHei"/>
          <w:b/>
          <w:color w:val="1F4E79"/>
          <w:sz w:val="32"/>
        </w:rPr>
        <w:t>十五、Build / Buy / Partner 决策</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3120"/>
        <w:gridCol w:w="3120"/>
        <w:gridCol w:w="3120"/>
      </w:tblGrid>
      <w:tr>
        <w:trPr>
          <w:cantSplit/>
          <w:tblHeader w:val="true"/>
        </w:trPr>
        <w:tc>
          <w:tcPr>
            <w:tcW w:type="dxa" w:w="2753"/>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能力</w:t>
            </w:r>
          </w:p>
        </w:tc>
        <w:tc>
          <w:tcPr>
            <w:tcW w:type="dxa" w:w="256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决策</w:t>
            </w:r>
          </w:p>
        </w:tc>
        <w:tc>
          <w:tcPr>
            <w:tcW w:type="dxa" w:w="4038"/>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理由</w:t>
            </w:r>
          </w:p>
        </w:tc>
      </w:tr>
      <w:tr>
        <w:trPr>
          <w:cantSplit/>
        </w:trPr>
        <w:tc>
          <w:tcPr>
            <w:tcW w:type="dxa" w:w="27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智能体循环、缓存、模型适配</w:t>
            </w:r>
          </w:p>
        </w:tc>
        <w:tc>
          <w:tcPr>
            <w:tcW w:type="dxa" w:w="2569"/>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复用 Hermes</w:t>
            </w:r>
          </w:p>
        </w:tc>
        <w:tc>
          <w:tcPr>
            <w:tcW w:type="dxa" w:w="403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已成熟，重写无商业差异</w:t>
            </w:r>
          </w:p>
        </w:tc>
      </w:tr>
      <w:tr>
        <w:trPr>
          <w:cantSplit/>
        </w:trPr>
        <w:tc>
          <w:tcPr>
            <w:tcW w:type="dxa" w:w="27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法律控制面、案件权限、审计</w:t>
            </w:r>
          </w:p>
        </w:tc>
        <w:tc>
          <w:tcPr>
            <w:tcW w:type="dxa" w:w="256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自建</w:t>
            </w:r>
          </w:p>
        </w:tc>
        <w:tc>
          <w:tcPr>
            <w:tcW w:type="dxa" w:w="403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核心信任和差异化</w:t>
            </w:r>
          </w:p>
        </w:tc>
      </w:tr>
      <w:tr>
        <w:trPr>
          <w:cantSplit/>
        </w:trPr>
        <w:tc>
          <w:tcPr>
            <w:tcW w:type="dxa" w:w="27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对象存储、关系库、KMS、队列</w:t>
            </w:r>
          </w:p>
        </w:tc>
        <w:tc>
          <w:tcPr>
            <w:tcW w:type="dxa" w:w="2569"/>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采购云/成熟组件</w:t>
            </w:r>
          </w:p>
        </w:tc>
        <w:tc>
          <w:tcPr>
            <w:tcW w:type="dxa" w:w="403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标准基础设施，避免自研</w:t>
            </w:r>
          </w:p>
        </w:tc>
      </w:tr>
      <w:tr>
        <w:trPr>
          <w:cantSplit/>
        </w:trPr>
        <w:tc>
          <w:tcPr>
            <w:tcW w:type="dxa" w:w="27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文档/OCR</w:t>
            </w:r>
          </w:p>
        </w:tc>
        <w:tc>
          <w:tcPr>
            <w:tcW w:type="dxa" w:w="256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组合采购 + 自建质量层</w:t>
            </w:r>
          </w:p>
        </w:tc>
        <w:tc>
          <w:tcPr>
            <w:tcW w:type="dxa" w:w="403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OCR 可买，但页锚点、版本和抽检是产品能力</w:t>
            </w:r>
          </w:p>
        </w:tc>
      </w:tr>
      <w:tr>
        <w:trPr>
          <w:cantSplit/>
        </w:trPr>
        <w:tc>
          <w:tcPr>
            <w:tcW w:type="dxa" w:w="27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法律法规/案例内容</w:t>
            </w:r>
          </w:p>
        </w:tc>
        <w:tc>
          <w:tcPr>
            <w:tcW w:type="dxa" w:w="2569"/>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合作/授权</w:t>
            </w:r>
          </w:p>
        </w:tc>
        <w:tc>
          <w:tcPr>
            <w:tcW w:type="dxa" w:w="403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内容来源、更新和许可壁垒高</w:t>
            </w:r>
          </w:p>
        </w:tc>
      </w:tr>
      <w:tr>
        <w:trPr>
          <w:cantSplit/>
        </w:trPr>
        <w:tc>
          <w:tcPr>
            <w:tcW w:type="dxa" w:w="27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引证/效力验证</w:t>
            </w:r>
          </w:p>
        </w:tc>
        <w:tc>
          <w:tcPr>
            <w:tcW w:type="dxa" w:w="256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多供应商 + 自建编排与门禁</w:t>
            </w:r>
          </w:p>
        </w:tc>
        <w:tc>
          <w:tcPr>
            <w:tcW w:type="dxa" w:w="403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防锁定，验证逻辑是核心</w:t>
            </w:r>
          </w:p>
        </w:tc>
      </w:tr>
      <w:tr>
        <w:trPr>
          <w:cantSplit/>
        </w:trPr>
        <w:tc>
          <w:tcPr>
            <w:tcW w:type="dxa" w:w="27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事实/证据图谱与要件矩阵</w:t>
            </w:r>
          </w:p>
        </w:tc>
        <w:tc>
          <w:tcPr>
            <w:tcW w:type="dxa" w:w="2569"/>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自建</w:t>
            </w:r>
          </w:p>
        </w:tc>
        <w:tc>
          <w:tcPr>
            <w:tcW w:type="dxa" w:w="403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核心领域模型和工作流</w:t>
            </w:r>
          </w:p>
        </w:tc>
      </w:tr>
      <w:tr>
        <w:trPr>
          <w:cantSplit/>
        </w:trPr>
        <w:tc>
          <w:tcPr>
            <w:tcW w:type="dxa" w:w="27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基础大模型</w:t>
            </w:r>
          </w:p>
        </w:tc>
        <w:tc>
          <w:tcPr>
            <w:tcW w:type="dxa" w:w="256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不自研</w:t>
            </w:r>
          </w:p>
        </w:tc>
        <w:tc>
          <w:tcPr>
            <w:tcW w:type="dxa" w:w="403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成本巨大且不是壁垒</w:t>
            </w:r>
          </w:p>
        </w:tc>
      </w:tr>
      <w:tr>
        <w:trPr>
          <w:cantSplit/>
        </w:trPr>
        <w:tc>
          <w:tcPr>
            <w:tcW w:type="dxa" w:w="27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案由小模型/分类器</w:t>
            </w:r>
          </w:p>
        </w:tc>
        <w:tc>
          <w:tcPr>
            <w:tcW w:type="dxa" w:w="2569"/>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有数据后选择性训练</w:t>
            </w:r>
          </w:p>
        </w:tc>
        <w:tc>
          <w:tcPr>
            <w:tcW w:type="dxa" w:w="403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金额/实体/OCR 等窄任务可能有收益</w:t>
            </w:r>
          </w:p>
        </w:tc>
      </w:tr>
      <w:tr>
        <w:trPr>
          <w:cantSplit/>
        </w:trPr>
        <w:tc>
          <w:tcPr>
            <w:tcW w:type="dxa" w:w="27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Office/Word 集成</w:t>
            </w:r>
          </w:p>
        </w:tc>
        <w:tc>
          <w:tcPr>
            <w:tcW w:type="dxa" w:w="256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自建插件，复用 SDK</w:t>
            </w:r>
          </w:p>
        </w:tc>
        <w:tc>
          <w:tcPr>
            <w:tcW w:type="dxa" w:w="403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工作流关键、需深度适配</w:t>
            </w:r>
          </w:p>
        </w:tc>
      </w:tr>
      <w:tr>
        <w:trPr>
          <w:cantSplit/>
        </w:trPr>
        <w:tc>
          <w:tcPr>
            <w:tcW w:type="dxa" w:w="27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DMS/OA/邮箱连接器</w:t>
            </w:r>
          </w:p>
        </w:tc>
        <w:tc>
          <w:tcPr>
            <w:tcW w:type="dxa" w:w="2569"/>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伙伴 + 签名插件/MCP</w:t>
            </w:r>
          </w:p>
        </w:tc>
        <w:tc>
          <w:tcPr>
            <w:tcW w:type="dxa" w:w="403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生态多、不能污染核心</w:t>
            </w:r>
          </w:p>
        </w:tc>
      </w:tr>
      <w:tr>
        <w:trPr>
          <w:cantSplit/>
        </w:trPr>
        <w:tc>
          <w:tcPr>
            <w:tcW w:type="dxa" w:w="27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身份/SSO</w:t>
            </w:r>
          </w:p>
        </w:tc>
        <w:tc>
          <w:tcPr>
            <w:tcW w:type="dxa" w:w="256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采用标准协议/成熟 IdP</w:t>
            </w:r>
          </w:p>
        </w:tc>
        <w:tc>
          <w:tcPr>
            <w:tcW w:type="dxa" w:w="403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安全基础能力</w:t>
            </w:r>
          </w:p>
        </w:tc>
      </w:tr>
      <w:tr>
        <w:trPr>
          <w:cantSplit/>
        </w:trPr>
        <w:tc>
          <w:tcPr>
            <w:tcW w:type="dxa" w:w="2753"/>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监控/SIEM/漏洞扫描</w:t>
            </w:r>
          </w:p>
        </w:tc>
        <w:tc>
          <w:tcPr>
            <w:tcW w:type="dxa" w:w="2569"/>
            <w:vAlign w:val="center"/>
            <w:tcMar>
              <w:top w:w="80" w:type="dxa"/>
              <w:start w:w="120" w:type="dxa"/>
              <w:bottom w:w="80" w:type="dxa"/>
              <w:end w:w="120" w:type="dxa"/>
            </w:tcMar>
          </w:tcPr>
          <w:p>
            <w:pPr>
              <w:spacing w:after="0" w:line="252" w:lineRule="auto"/>
              <w:jc w:val="left"/>
            </w:pPr>
            <w:r>
              <w:rPr>
                <w:rFonts w:ascii="Calibri" w:hAnsi="Calibri" w:eastAsia="Microsoft YaHei"/>
                <w:b/>
                <w:color w:val="1F2937"/>
                <w:sz w:val="17"/>
              </w:rPr>
              <w:t>成熟产品</w:t>
            </w:r>
          </w:p>
        </w:tc>
        <w:tc>
          <w:tcPr>
            <w:tcW w:type="dxa" w:w="4038"/>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避免安全工具自研</w:t>
            </w:r>
          </w:p>
        </w:tc>
      </w:tr>
      <w:tr>
        <w:trPr>
          <w:cantSplit/>
        </w:trPr>
        <w:tc>
          <w:tcPr>
            <w:tcW w:type="dxa" w:w="2753"/>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评测与发布门禁</w:t>
            </w:r>
          </w:p>
        </w:tc>
        <w:tc>
          <w:tcPr>
            <w:tcW w:type="dxa" w:w="256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color w:val="1F2937"/>
                <w:sz w:val="17"/>
              </w:rPr>
              <w:t>自建</w:t>
            </w:r>
          </w:p>
        </w:tc>
        <w:tc>
          <w:tcPr>
            <w:tcW w:type="dxa" w:w="4038"/>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直接决定法律质量和供应商可替换性</w:t>
            </w:r>
          </w:p>
        </w:tc>
      </w:tr>
    </w:tbl>
    <w:p>
      <w:pPr>
        <w:spacing w:after="0"/>
      </w:pPr>
    </w:p>
    <w:p>
      <w:pPr>
        <w:pStyle w:val="Heading1"/>
        <w:keepNext/>
        <w:keepLines/>
      </w:pPr>
      <w:r>
        <w:rPr>
          <w:rFonts w:ascii="Calibri" w:hAnsi="Calibri" w:eastAsia="Microsoft YaHei"/>
          <w:b/>
          <w:color w:val="1F4E79"/>
          <w:sz w:val="32"/>
        </w:rPr>
        <w:t>十六、开放问题与决策清单</w:t>
      </w:r>
    </w:p>
    <w:p>
      <w:pPr>
        <w:pStyle w:val="Heading2"/>
        <w:keepNext/>
        <w:keepLines/>
      </w:pPr>
      <w:r>
        <w:rPr>
          <w:rFonts w:ascii="Calibri" w:hAnsi="Calibri" w:eastAsia="Microsoft YaHei"/>
          <w:b/>
          <w:color w:val="1F4E79"/>
          <w:sz w:val="26"/>
        </w:rPr>
        <w:t>16.1 未来六周必须回答</w:t>
      </w:r>
    </w:p>
    <w:p>
      <w:pPr>
        <w:pStyle w:val="ListNumber"/>
        <w:numPr>
          <w:ilvl w:val="0"/>
          <w:numId w:val="21"/>
        </w:numPr>
        <w:keepLines/>
      </w:pPr>
      <w:r>
        <w:rPr>
          <w:rFonts w:ascii="Calibri" w:hAnsi="Calibri" w:eastAsia="Microsoft YaHei"/>
          <w:b w:val="0"/>
          <w:color w:val="1F2937"/>
          <w:sz w:val="22"/>
        </w:rPr>
        <w:t>首发团队究竟是 5—30 人诉讼团队，还是企业法务争议团队？二者只能有一个主 ICP。</w:t>
      </w:r>
    </w:p>
    <w:p>
      <w:pPr>
        <w:pStyle w:val="ListNumber"/>
        <w:numPr>
          <w:ilvl w:val="0"/>
          <w:numId w:val="21"/>
        </w:numPr>
        <w:keepLines/>
      </w:pPr>
      <w:r>
        <w:rPr>
          <w:rFonts w:ascii="Calibri" w:hAnsi="Calibri" w:eastAsia="Microsoft YaHei"/>
          <w:b w:val="0"/>
          <w:color w:val="1F2937"/>
          <w:sz w:val="22"/>
        </w:rPr>
        <w:t>商业合同争议中，客户最愿意为时间线、证据矩阵、研究还是初稿付费？</w:t>
      </w:r>
    </w:p>
    <w:p>
      <w:pPr>
        <w:pStyle w:val="ListNumber"/>
        <w:numPr>
          <w:ilvl w:val="0"/>
          <w:numId w:val="21"/>
        </w:numPr>
        <w:keepLines/>
      </w:pPr>
      <w:r>
        <w:rPr>
          <w:rFonts w:ascii="Calibri" w:hAnsi="Calibri" w:eastAsia="Microsoft YaHei"/>
          <w:b w:val="0"/>
          <w:color w:val="1F2937"/>
          <w:sz w:val="22"/>
        </w:rPr>
        <w:t>客户能否合法提供足够历史案件用于评测？需要怎样的授权、去标识和本地环境？</w:t>
      </w:r>
    </w:p>
    <w:p>
      <w:pPr>
        <w:pStyle w:val="ListNumber"/>
        <w:numPr>
          <w:ilvl w:val="0"/>
          <w:numId w:val="21"/>
        </w:numPr>
        <w:keepLines/>
      </w:pPr>
      <w:r>
        <w:rPr>
          <w:rFonts w:ascii="Calibri" w:hAnsi="Calibri" w:eastAsia="Microsoft YaHei"/>
          <w:b w:val="0"/>
          <w:color w:val="1F2937"/>
          <w:sz w:val="22"/>
        </w:rPr>
        <w:t>核心法律数据供应商的授权价格、展示权、缓存权、派生数据权和退出条款是什么？</w:t>
      </w:r>
    </w:p>
    <w:p>
      <w:pPr>
        <w:pStyle w:val="ListNumber"/>
        <w:numPr>
          <w:ilvl w:val="0"/>
          <w:numId w:val="21"/>
        </w:numPr>
        <w:keepLines/>
      </w:pPr>
      <w:r>
        <w:rPr>
          <w:rFonts w:ascii="Calibri" w:hAnsi="Calibri" w:eastAsia="Microsoft YaHei"/>
          <w:b w:val="0"/>
          <w:color w:val="1F2937"/>
          <w:sz w:val="22"/>
        </w:rPr>
        <w:t>标准 SaaS 能接受的数据级别到哪里？哪些客户只接受专属云或本地？</w:t>
      </w:r>
    </w:p>
    <w:p>
      <w:pPr>
        <w:pStyle w:val="ListNumber"/>
        <w:numPr>
          <w:ilvl w:val="0"/>
          <w:numId w:val="21"/>
        </w:numPr>
        <w:keepLines/>
      </w:pPr>
      <w:r>
        <w:rPr>
          <w:rFonts w:ascii="Calibri" w:hAnsi="Calibri" w:eastAsia="Microsoft YaHei"/>
          <w:b w:val="0"/>
          <w:color w:val="1F2937"/>
          <w:sz w:val="22"/>
        </w:rPr>
        <w:t>律所既有 DMS/OA/Word/邮箱中哪个集成最影响采用？</w:t>
      </w:r>
    </w:p>
    <w:p>
      <w:pPr>
        <w:pStyle w:val="ListNumber"/>
        <w:numPr>
          <w:ilvl w:val="0"/>
          <w:numId w:val="21"/>
        </w:numPr>
        <w:keepLines/>
      </w:pPr>
      <w:r>
        <w:rPr>
          <w:rFonts w:ascii="Calibri" w:hAnsi="Calibri" w:eastAsia="Microsoft YaHei"/>
          <w:b w:val="0"/>
          <w:color w:val="1F2937"/>
          <w:sz w:val="22"/>
        </w:rPr>
        <w:t>AI 使用告知和生成内容标识在具体 B2B 导出文书中如何实施？</w:t>
      </w:r>
    </w:p>
    <w:p>
      <w:pPr>
        <w:pStyle w:val="ListNumber"/>
        <w:numPr>
          <w:ilvl w:val="0"/>
          <w:numId w:val="21"/>
        </w:numPr>
        <w:keepLines/>
      </w:pPr>
      <w:r>
        <w:rPr>
          <w:rFonts w:ascii="Calibri" w:hAnsi="Calibri" w:eastAsia="Microsoft YaHei"/>
          <w:b w:val="0"/>
          <w:color w:val="1F2937"/>
          <w:sz w:val="22"/>
        </w:rPr>
        <w:t>需要申请/备案的互联网、算法和安全事项如何随产品形态变化？</w:t>
      </w:r>
    </w:p>
    <w:p>
      <w:pPr>
        <w:pStyle w:val="ListNumber"/>
        <w:numPr>
          <w:ilvl w:val="0"/>
          <w:numId w:val="21"/>
        </w:numPr>
        <w:keepLines/>
      </w:pPr>
      <w:r>
        <w:rPr>
          <w:rFonts w:ascii="Calibri" w:hAnsi="Calibri" w:eastAsia="Microsoft YaHei"/>
          <w:b w:val="0"/>
          <w:color w:val="1F2937"/>
          <w:sz w:val="22"/>
        </w:rPr>
        <w:t>客户愿意按席位、案件、容量还是机构年费采购？</w:t>
      </w:r>
    </w:p>
    <w:p>
      <w:pPr>
        <w:pStyle w:val="ListNumber"/>
        <w:numPr>
          <w:ilvl w:val="0"/>
          <w:numId w:val="21"/>
        </w:numPr>
        <w:keepLines/>
      </w:pPr>
      <w:r>
        <w:rPr>
          <w:rFonts w:ascii="Calibri" w:hAnsi="Calibri" w:eastAsia="Microsoft YaHei"/>
          <w:b w:val="0"/>
          <w:color w:val="1F2937"/>
          <w:sz w:val="22"/>
        </w:rPr>
        <w:t>AI 节省工时如何改变律所收费、项目利润和青年律师培养？</w:t>
      </w:r>
    </w:p>
    <w:p>
      <w:pPr>
        <w:pStyle w:val="Heading2"/>
        <w:keepNext/>
        <w:keepLines/>
      </w:pPr>
      <w:r>
        <w:rPr>
          <w:rFonts w:ascii="Calibri" w:hAnsi="Calibri" w:eastAsia="Microsoft YaHei"/>
          <w:b/>
          <w:color w:val="1F4E79"/>
          <w:sz w:val="26"/>
        </w:rPr>
        <w:t>16.2 决策记录模板</w:t>
      </w:r>
    </w:p>
    <w:p>
      <w:r>
        <w:rPr>
          <w:rFonts w:ascii="Calibri" w:hAnsi="Calibri" w:eastAsia="Microsoft YaHei"/>
          <w:b w:val="0"/>
          <w:color w:val="1F2937"/>
          <w:sz w:val="22"/>
        </w:rPr>
        <w:t>每个重大选择保留：问题、日期、可选项、证据、法律/安全影响、客户影响、成本、可逆性、决策人、复审触发条件。特别是模型、法源、部署模式、案由扩张和自动动作，不能只留在会议聊天记录中。</w:t>
      </w:r>
    </w:p>
    <w:p>
      <w:pPr>
        <w:pStyle w:val="Heading1"/>
        <w:keepNext/>
        <w:keepLines/>
      </w:pPr>
      <w:r>
        <w:rPr>
          <w:rFonts w:ascii="Calibri" w:hAnsi="Calibri" w:eastAsia="Microsoft YaHei"/>
          <w:b/>
          <w:color w:val="1F4E79"/>
          <w:sz w:val="32"/>
        </w:rPr>
        <w:t>十七、最终建议</w:t>
      </w:r>
    </w:p>
    <w:p>
      <w:pPr>
        <w:pStyle w:val="Heading2"/>
        <w:keepNext/>
        <w:keepLines/>
      </w:pPr>
      <w:r>
        <w:rPr>
          <w:rFonts w:ascii="Calibri" w:hAnsi="Calibri" w:eastAsia="Microsoft YaHei"/>
          <w:b/>
          <w:color w:val="1F4E79"/>
          <w:sz w:val="26"/>
        </w:rPr>
        <w:t>17.1 建议批准的项目</w:t>
      </w:r>
    </w:p>
    <w:p>
      <w:r>
        <w:rPr>
          <w:rFonts w:ascii="Calibri" w:hAnsi="Calibri" w:eastAsia="Microsoft YaHei"/>
          <w:b w:val="0"/>
          <w:color w:val="1F2937"/>
          <w:sz w:val="22"/>
        </w:rPr>
        <w:t>批准一个 16 周、阶段拨款的商业化验证项目，目标不是发布“数字律师事务所”，而是交付并验证：</w:t>
      </w:r>
    </w:p>
    <w:tbl>
      <w:tblPr>
        <w:tblW w:type="auto" w:w="0"/>
        <w:jc w:val="center"/>
        <w:tblLayout w:type="fixed"/>
        <w:tblLook w:firstColumn="1" w:firstRow="1" w:lastColumn="0" w:lastRow="0" w:noHBand="0" w:noVBand="1" w:val="04A0"/>
        <w:tblBorders>
          <w:top w:val="single" w:sz="8" w:color="9FBAD0"/>
          <w:left w:val="single" w:sz="8" w:color="9FBAD0"/>
          <w:bottom w:val="single" w:sz="8" w:color="9FBAD0"/>
          <w:right w:val="single" w:sz="8" w:color="9FBAD0"/>
          <w:insideH w:val="single" w:sz="8" w:color="9FBAD0"/>
          <w:insideV w:val="single" w:sz="8" w:color="9FBAD0"/>
        </w:tblBorders>
      </w:tblPr>
      <w:tblGrid>
        <w:gridCol w:w="9072"/>
      </w:tblGrid>
      <w:tr>
        <w:tc>
          <w:tcPr>
            <w:tcW w:type="dxa" w:w="9360"/>
            <w:shd w:fill="EEF5FA"/>
            <w:tcMar>
              <w:top w:w="150" w:type="dxa"/>
              <w:start w:w="180" w:type="dxa"/>
              <w:bottom w:w="150" w:type="dxa"/>
              <w:end w:w="180" w:type="dxa"/>
            </w:tcMar>
          </w:tcPr>
          <w:p>
            <w:pPr>
              <w:spacing w:after="0"/>
              <w:jc w:val="center"/>
            </w:pPr>
            <w:r>
              <w:rPr>
                <w:rFonts w:ascii="Calibri" w:hAnsi="Calibri" w:eastAsia="Microsoft YaHei"/>
                <w:b/>
                <w:color w:val="17365D"/>
                <w:sz w:val="24"/>
              </w:rPr>
              <w:t>商业合同争议案件的安全摄取、来源化时间线、要件证据矩阵、权威法源验证和律师审核工作包。</w:t>
            </w:r>
          </w:p>
        </w:tc>
      </w:tr>
    </w:tbl>
    <w:p>
      <w:pPr>
        <w:spacing w:after="0"/>
      </w:pPr>
    </w:p>
    <w:p>
      <w:r>
        <w:rPr>
          <w:rFonts w:ascii="Calibri" w:hAnsi="Calibri" w:eastAsia="Microsoft YaHei"/>
          <w:b w:val="0"/>
          <w:color w:val="1F2937"/>
          <w:sz w:val="22"/>
        </w:rPr>
        <w:t>技术上复用 Hermes 的编排、模型、桌面、审批与插件边界；产品上重建案件控制面、证据数据面、角色化工具、审计和评测；商业上以 5—8 家付费共创客户证明净工时、质量和年单转化。</w:t>
      </w:r>
    </w:p>
    <w:p>
      <w:pPr>
        <w:pStyle w:val="Heading2"/>
        <w:keepNext/>
        <w:keepLines/>
      </w:pPr>
      <w:r>
        <w:rPr>
          <w:rFonts w:ascii="Calibri" w:hAnsi="Calibri" w:eastAsia="Microsoft YaHei"/>
          <w:b/>
          <w:color w:val="1F4E79"/>
          <w:sz w:val="26"/>
        </w:rPr>
        <w:t>17.2 不建议批准的项目</w:t>
      </w:r>
    </w:p>
    <w:p>
      <w:r>
        <w:rPr>
          <w:rFonts w:ascii="Calibri" w:hAnsi="Calibri" w:eastAsia="Microsoft YaHei"/>
          <w:b w:val="0"/>
          <w:color w:val="1F2937"/>
          <w:sz w:val="22"/>
        </w:rPr>
        <w:t>现阶段不批准：面向公众的 AI 法律咨询、人格化自动律师、全案由平台、自研基础模型、自动提交法院、未经审批的消息平台接案，以及将当前通用 Hermes 直接部署到律所处理真实卷宗。</w:t>
      </w:r>
    </w:p>
    <w:p>
      <w:pPr>
        <w:pStyle w:val="Heading2"/>
        <w:keepNext/>
        <w:keepLines/>
      </w:pPr>
      <w:r>
        <w:rPr>
          <w:rFonts w:ascii="Calibri" w:hAnsi="Calibri" w:eastAsia="Microsoft YaHei"/>
          <w:b/>
          <w:color w:val="1F4E79"/>
          <w:sz w:val="26"/>
        </w:rPr>
        <w:t>17.3 成败的真正分界</w:t>
      </w:r>
    </w:p>
    <w:p>
      <w:r>
        <w:rPr>
          <w:rFonts w:ascii="Calibri" w:hAnsi="Calibri" w:eastAsia="Microsoft YaHei"/>
          <w:b w:val="0"/>
          <w:color w:val="1F2937"/>
          <w:sz w:val="22"/>
        </w:rPr>
        <w:t>项目成败不取决于模型能否写出一篇像样的起诉状，而取决于四件更困难的事：</w:t>
      </w:r>
    </w:p>
    <w:p>
      <w:pPr>
        <w:pStyle w:val="ListNumber"/>
        <w:numPr>
          <w:ilvl w:val="0"/>
          <w:numId w:val="22"/>
        </w:numPr>
        <w:keepLines/>
      </w:pPr>
      <w:r>
        <w:rPr>
          <w:rFonts w:ascii="Calibri" w:hAnsi="Calibri" w:eastAsia="Microsoft YaHei"/>
          <w:b w:val="0"/>
          <w:color w:val="1F2937"/>
          <w:sz w:val="22"/>
        </w:rPr>
        <w:t>是否能让案件数据在租户、团队、客户和案件之间绝不串线；</w:t>
      </w:r>
    </w:p>
    <w:p>
      <w:pPr>
        <w:pStyle w:val="ListNumber"/>
        <w:numPr>
          <w:ilvl w:val="0"/>
          <w:numId w:val="22"/>
        </w:numPr>
        <w:keepLines/>
      </w:pPr>
      <w:r>
        <w:rPr>
          <w:rFonts w:ascii="Calibri" w:hAnsi="Calibri" w:eastAsia="Microsoft YaHei"/>
          <w:b w:val="0"/>
          <w:color w:val="1F2937"/>
          <w:sz w:val="22"/>
        </w:rPr>
        <w:t>是否能让每一条重要事实和法律命题回到可靠来源；</w:t>
      </w:r>
    </w:p>
    <w:p>
      <w:pPr>
        <w:pStyle w:val="ListNumber"/>
        <w:numPr>
          <w:ilvl w:val="0"/>
          <w:numId w:val="22"/>
        </w:numPr>
        <w:keepLines/>
      </w:pPr>
      <w:r>
        <w:rPr>
          <w:rFonts w:ascii="Calibri" w:hAnsi="Calibri" w:eastAsia="Microsoft YaHei"/>
          <w:b w:val="0"/>
          <w:color w:val="1F2937"/>
          <w:sz w:val="22"/>
        </w:rPr>
        <w:t>是否能把律师复核变得更快，而不是制造更多需要阅读的文字；</w:t>
      </w:r>
    </w:p>
    <w:p>
      <w:pPr>
        <w:pStyle w:val="ListNumber"/>
        <w:numPr>
          <w:ilvl w:val="0"/>
          <w:numId w:val="22"/>
        </w:numPr>
        <w:keepLines/>
      </w:pPr>
      <w:r>
        <w:rPr>
          <w:rFonts w:ascii="Calibri" w:hAnsi="Calibri" w:eastAsia="Microsoft YaHei"/>
          <w:b w:val="0"/>
          <w:color w:val="1F2937"/>
          <w:sz w:val="22"/>
        </w:rPr>
        <w:t>是否能以标准产品和可重复销售交付这些能力，而不是成为低毛利定制项目公司。</w:t>
      </w:r>
    </w:p>
    <w:p>
      <w:r>
        <w:rPr>
          <w:rFonts w:ascii="Calibri" w:hAnsi="Calibri" w:eastAsia="Microsoft YaHei"/>
          <w:b w:val="0"/>
          <w:color w:val="1F2937"/>
          <w:sz w:val="22"/>
        </w:rPr>
        <w:t>如果这四件事做成，Hermes 的多智能体能力会成为强大生产引擎；如果做不成，更多智能体只会更快地产生不可控内容。</w:t>
      </w:r>
    </w:p>
    <w:p>
      <w:pPr>
        <w:pStyle w:val="Heading1"/>
        <w:keepNext/>
        <w:keepLines/>
      </w:pPr>
      <w:r>
        <w:rPr>
          <w:rFonts w:ascii="Calibri" w:hAnsi="Calibri" w:eastAsia="Microsoft YaHei"/>
          <w:b/>
          <w:color w:val="1F4E79"/>
          <w:sz w:val="32"/>
        </w:rPr>
        <w:t>附录 A：客户访谈提纲</w:t>
      </w:r>
    </w:p>
    <w:p>
      <w:pPr>
        <w:pStyle w:val="Heading2"/>
        <w:keepNext/>
        <w:keepLines/>
      </w:pPr>
      <w:r>
        <w:rPr>
          <w:rFonts w:ascii="Calibri" w:hAnsi="Calibri" w:eastAsia="Microsoft YaHei"/>
          <w:b/>
          <w:color w:val="1F4E79"/>
          <w:sz w:val="26"/>
        </w:rPr>
        <w:t>A.1 合伙人/主任（45—60 分钟）</w:t>
      </w:r>
    </w:p>
    <w:p>
      <w:pPr>
        <w:pStyle w:val="ListNumber"/>
        <w:numPr>
          <w:ilvl w:val="0"/>
          <w:numId w:val="23"/>
        </w:numPr>
        <w:keepLines/>
      </w:pPr>
      <w:r>
        <w:rPr>
          <w:rFonts w:ascii="Calibri" w:hAnsi="Calibri" w:eastAsia="Microsoft YaHei"/>
          <w:b w:val="0"/>
          <w:color w:val="1F2937"/>
          <w:sz w:val="22"/>
        </w:rPr>
        <w:t>最近三个材料最复杂的案件是什么？复杂来自页数、主体、时间、法律还是协作？</w:t>
      </w:r>
    </w:p>
    <w:p>
      <w:pPr>
        <w:pStyle w:val="ListNumber"/>
        <w:numPr>
          <w:ilvl w:val="0"/>
          <w:numId w:val="23"/>
        </w:numPr>
        <w:keepLines/>
      </w:pPr>
      <w:r>
        <w:rPr>
          <w:rFonts w:ascii="Calibri" w:hAnsi="Calibri" w:eastAsia="Microsoft YaHei"/>
          <w:b w:val="0"/>
          <w:color w:val="1F2937"/>
          <w:sz w:val="22"/>
        </w:rPr>
        <w:t>从接案到形成第一版案件认识，谁做、花多久、交付什么？</w:t>
      </w:r>
    </w:p>
    <w:p>
      <w:pPr>
        <w:pStyle w:val="ListNumber"/>
        <w:numPr>
          <w:ilvl w:val="0"/>
          <w:numId w:val="23"/>
        </w:numPr>
        <w:keepLines/>
      </w:pPr>
      <w:r>
        <w:rPr>
          <w:rFonts w:ascii="Calibri" w:hAnsi="Calibri" w:eastAsia="Microsoft YaHei"/>
          <w:b w:val="0"/>
          <w:color w:val="1F2937"/>
          <w:sz w:val="22"/>
        </w:rPr>
        <w:t>哪些环节合伙人必须亲自复核？最常返工什么？</w:t>
      </w:r>
    </w:p>
    <w:p>
      <w:pPr>
        <w:pStyle w:val="ListNumber"/>
        <w:numPr>
          <w:ilvl w:val="0"/>
          <w:numId w:val="23"/>
        </w:numPr>
        <w:keepLines/>
      </w:pPr>
      <w:r>
        <w:rPr>
          <w:rFonts w:ascii="Calibri" w:hAnsi="Calibri" w:eastAsia="Microsoft YaHei"/>
          <w:b w:val="0"/>
          <w:color w:val="1F2937"/>
          <w:sz w:val="22"/>
        </w:rPr>
        <w:t>过去一年出现过哪些漏材料、漏期限、错误引用或版本混乱？</w:t>
      </w:r>
    </w:p>
    <w:p>
      <w:pPr>
        <w:pStyle w:val="ListNumber"/>
        <w:numPr>
          <w:ilvl w:val="0"/>
          <w:numId w:val="23"/>
        </w:numPr>
        <w:keepLines/>
      </w:pPr>
      <w:r>
        <w:rPr>
          <w:rFonts w:ascii="Calibri" w:hAnsi="Calibri" w:eastAsia="Microsoft YaHei"/>
          <w:b w:val="0"/>
          <w:color w:val="1F2937"/>
          <w:sz w:val="22"/>
        </w:rPr>
        <w:t>团队如何收费？节省工时会增加利润、降低收入还是释放容量？</w:t>
      </w:r>
    </w:p>
    <w:p>
      <w:pPr>
        <w:pStyle w:val="ListNumber"/>
        <w:numPr>
          <w:ilvl w:val="0"/>
          <w:numId w:val="23"/>
        </w:numPr>
        <w:keepLines/>
      </w:pPr>
      <w:r>
        <w:rPr>
          <w:rFonts w:ascii="Calibri" w:hAnsi="Calibri" w:eastAsia="Microsoft YaHei"/>
          <w:b w:val="0"/>
          <w:color w:val="1F2937"/>
          <w:sz w:val="22"/>
        </w:rPr>
        <w:t>客户是否询问或限制 AI？是否需要告知？</w:t>
      </w:r>
    </w:p>
    <w:p>
      <w:pPr>
        <w:pStyle w:val="ListNumber"/>
        <w:numPr>
          <w:ilvl w:val="0"/>
          <w:numId w:val="23"/>
        </w:numPr>
        <w:keepLines/>
      </w:pPr>
      <w:r>
        <w:rPr>
          <w:rFonts w:ascii="Calibri" w:hAnsi="Calibri" w:eastAsia="Microsoft YaHei"/>
          <w:b w:val="0"/>
          <w:color w:val="1F2937"/>
          <w:sz w:val="22"/>
        </w:rPr>
        <w:t>哪类材料绝不允许上云？谁作决定？</w:t>
      </w:r>
    </w:p>
    <w:p>
      <w:pPr>
        <w:pStyle w:val="ListNumber"/>
        <w:numPr>
          <w:ilvl w:val="0"/>
          <w:numId w:val="23"/>
        </w:numPr>
        <w:keepLines/>
      </w:pPr>
      <w:r>
        <w:rPr>
          <w:rFonts w:ascii="Calibri" w:hAnsi="Calibri" w:eastAsia="Microsoft YaHei"/>
          <w:b w:val="0"/>
          <w:color w:val="1F2937"/>
          <w:sz w:val="22"/>
        </w:rPr>
        <w:t>采购此类产品需要哪些人同意、预算来自哪里、周期多久？</w:t>
      </w:r>
    </w:p>
    <w:p>
      <w:pPr>
        <w:pStyle w:val="ListNumber"/>
        <w:numPr>
          <w:ilvl w:val="0"/>
          <w:numId w:val="23"/>
        </w:numPr>
        <w:keepLines/>
      </w:pPr>
      <w:r>
        <w:rPr>
          <w:rFonts w:ascii="Calibri" w:hAnsi="Calibri" w:eastAsia="Microsoft YaHei"/>
          <w:b w:val="0"/>
          <w:color w:val="1F2937"/>
          <w:sz w:val="22"/>
        </w:rPr>
        <w:t>若一个产品只把材料变成可靠时间线和证据矩阵，不起草文书，是否仍值得付费？</w:t>
      </w:r>
    </w:p>
    <w:p>
      <w:pPr>
        <w:pStyle w:val="ListNumber"/>
        <w:numPr>
          <w:ilvl w:val="0"/>
          <w:numId w:val="23"/>
        </w:numPr>
        <w:keepLines/>
      </w:pPr>
      <w:r>
        <w:rPr>
          <w:rFonts w:ascii="Calibri" w:hAnsi="Calibri" w:eastAsia="Microsoft YaHei"/>
          <w:b w:val="0"/>
          <w:color w:val="1F2937"/>
          <w:sz w:val="22"/>
        </w:rPr>
        <w:t>什么结果会让您 8 周后签年单？什么错误会让您立即停止？</w:t>
      </w:r>
    </w:p>
    <w:p>
      <w:pPr>
        <w:pStyle w:val="Heading2"/>
        <w:keepNext/>
        <w:keepLines/>
      </w:pPr>
      <w:r>
        <w:rPr>
          <w:rFonts w:ascii="Calibri" w:hAnsi="Calibri" w:eastAsia="Microsoft YaHei"/>
          <w:b/>
          <w:color w:val="1F4E79"/>
          <w:sz w:val="26"/>
        </w:rPr>
        <w:t>A.2 承办律师/助理（60 分钟 + 跟岗）</w:t>
      </w:r>
    </w:p>
    <w:p>
      <w:pPr>
        <w:pStyle w:val="ListNumber"/>
        <w:numPr>
          <w:ilvl w:val="0"/>
          <w:numId w:val="24"/>
        </w:numPr>
        <w:keepLines/>
      </w:pPr>
      <w:r>
        <w:rPr>
          <w:rFonts w:ascii="Calibri" w:hAnsi="Calibri" w:eastAsia="Microsoft YaHei"/>
          <w:b w:val="0"/>
          <w:color w:val="1F2937"/>
          <w:sz w:val="22"/>
        </w:rPr>
        <w:t>请现场演示最近一次整理材料，不要只描述；</w:t>
      </w:r>
    </w:p>
    <w:p>
      <w:pPr>
        <w:pStyle w:val="ListNumber"/>
        <w:numPr>
          <w:ilvl w:val="0"/>
          <w:numId w:val="24"/>
        </w:numPr>
        <w:keepLines/>
      </w:pPr>
      <w:r>
        <w:rPr>
          <w:rFonts w:ascii="Calibri" w:hAnsi="Calibri" w:eastAsia="Microsoft YaHei"/>
          <w:b w:val="0"/>
          <w:color w:val="1F2937"/>
          <w:sz w:val="22"/>
        </w:rPr>
        <w:t>文件从哪里来，怎样命名、去重、编号和分享？</w:t>
      </w:r>
    </w:p>
    <w:p>
      <w:pPr>
        <w:pStyle w:val="ListNumber"/>
        <w:numPr>
          <w:ilvl w:val="0"/>
          <w:numId w:val="24"/>
        </w:numPr>
        <w:keepLines/>
      </w:pPr>
      <w:r>
        <w:rPr>
          <w:rFonts w:ascii="Calibri" w:hAnsi="Calibri" w:eastAsia="Microsoft YaHei"/>
          <w:b w:val="0"/>
          <w:color w:val="1F2937"/>
          <w:sz w:val="22"/>
        </w:rPr>
        <w:t>如何做时间线、证据目录、人物关系和争点表？</w:t>
      </w:r>
    </w:p>
    <w:p>
      <w:pPr>
        <w:pStyle w:val="ListNumber"/>
        <w:numPr>
          <w:ilvl w:val="0"/>
          <w:numId w:val="24"/>
        </w:numPr>
        <w:keepLines/>
      </w:pPr>
      <w:r>
        <w:rPr>
          <w:rFonts w:ascii="Calibri" w:hAnsi="Calibri" w:eastAsia="Microsoft YaHei"/>
          <w:b w:val="0"/>
          <w:color w:val="1F2937"/>
          <w:sz w:val="22"/>
        </w:rPr>
        <w:t>遇到金额、日期、陈述冲突时如何记录？</w:t>
      </w:r>
    </w:p>
    <w:p>
      <w:pPr>
        <w:pStyle w:val="ListNumber"/>
        <w:numPr>
          <w:ilvl w:val="0"/>
          <w:numId w:val="24"/>
        </w:numPr>
        <w:keepLines/>
      </w:pPr>
      <w:r>
        <w:rPr>
          <w:rFonts w:ascii="Calibri" w:hAnsi="Calibri" w:eastAsia="Microsoft YaHei"/>
          <w:b w:val="0"/>
          <w:color w:val="1F2937"/>
          <w:sz w:val="22"/>
        </w:rPr>
        <w:t>如何把材料事实带入文书，怎样避免错引？</w:t>
      </w:r>
    </w:p>
    <w:p>
      <w:pPr>
        <w:pStyle w:val="ListNumber"/>
        <w:numPr>
          <w:ilvl w:val="0"/>
          <w:numId w:val="24"/>
        </w:numPr>
        <w:keepLines/>
      </w:pPr>
      <w:r>
        <w:rPr>
          <w:rFonts w:ascii="Calibri" w:hAnsi="Calibri" w:eastAsia="Microsoft YaHei"/>
          <w:b w:val="0"/>
          <w:color w:val="1F2937"/>
          <w:sz w:val="22"/>
        </w:rPr>
        <w:t>法律检索从哪个库开始，如何确认时效和反面案例？</w:t>
      </w:r>
    </w:p>
    <w:p>
      <w:pPr>
        <w:pStyle w:val="ListNumber"/>
        <w:numPr>
          <w:ilvl w:val="0"/>
          <w:numId w:val="24"/>
        </w:numPr>
        <w:keepLines/>
      </w:pPr>
      <w:r>
        <w:rPr>
          <w:rFonts w:ascii="Calibri" w:hAnsi="Calibri" w:eastAsia="Microsoft YaHei"/>
          <w:b w:val="0"/>
          <w:color w:val="1F2937"/>
          <w:sz w:val="22"/>
        </w:rPr>
        <w:t>最讨厌重复做但又不敢交给 AI 的是什么？</w:t>
      </w:r>
    </w:p>
    <w:p>
      <w:pPr>
        <w:pStyle w:val="ListNumber"/>
        <w:numPr>
          <w:ilvl w:val="0"/>
          <w:numId w:val="24"/>
        </w:numPr>
        <w:keepLines/>
      </w:pPr>
      <w:r>
        <w:rPr>
          <w:rFonts w:ascii="Calibri" w:hAnsi="Calibri" w:eastAsia="Microsoft YaHei"/>
          <w:b w:val="0"/>
          <w:color w:val="1F2937"/>
          <w:sz w:val="22"/>
        </w:rPr>
        <w:t>使用过哪些通用/法律 AI？哪次真正省时，哪次增加返工？</w:t>
      </w:r>
    </w:p>
    <w:p>
      <w:pPr>
        <w:pStyle w:val="ListNumber"/>
        <w:numPr>
          <w:ilvl w:val="0"/>
          <w:numId w:val="24"/>
        </w:numPr>
        <w:keepLines/>
      </w:pPr>
      <w:r>
        <w:rPr>
          <w:rFonts w:ascii="Calibri" w:hAnsi="Calibri" w:eastAsia="Microsoft YaHei"/>
          <w:b w:val="0"/>
          <w:color w:val="1F2937"/>
          <w:sz w:val="22"/>
        </w:rPr>
        <w:t>希望 AI 输出怎样呈现才容易检查？</w:t>
      </w:r>
    </w:p>
    <w:p>
      <w:pPr>
        <w:pStyle w:val="ListNumber"/>
        <w:numPr>
          <w:ilvl w:val="0"/>
          <w:numId w:val="24"/>
        </w:numPr>
        <w:keepLines/>
      </w:pPr>
      <w:r>
        <w:rPr>
          <w:rFonts w:ascii="Calibri" w:hAnsi="Calibri" w:eastAsia="Microsoft YaHei"/>
          <w:b w:val="0"/>
          <w:color w:val="1F2937"/>
          <w:sz w:val="22"/>
        </w:rPr>
        <w:t>若系统要求逐条确认事实，多少确认是可接受的？</w:t>
      </w:r>
    </w:p>
    <w:p>
      <w:pPr>
        <w:pStyle w:val="Heading2"/>
        <w:keepNext/>
        <w:keepLines/>
      </w:pPr>
      <w:r>
        <w:rPr>
          <w:rFonts w:ascii="Calibri" w:hAnsi="Calibri" w:eastAsia="Microsoft YaHei"/>
          <w:b/>
          <w:color w:val="1F4E79"/>
          <w:sz w:val="26"/>
        </w:rPr>
        <w:t>A.3 IT/安全/合规（45 分钟）</w:t>
      </w:r>
    </w:p>
    <w:p>
      <w:pPr>
        <w:pStyle w:val="ListNumber"/>
        <w:numPr>
          <w:ilvl w:val="0"/>
          <w:numId w:val="25"/>
        </w:numPr>
        <w:keepLines/>
      </w:pPr>
      <w:r>
        <w:rPr>
          <w:rFonts w:ascii="Calibri" w:hAnsi="Calibri" w:eastAsia="Microsoft YaHei"/>
          <w:b w:val="0"/>
          <w:color w:val="1F2937"/>
          <w:sz w:val="22"/>
        </w:rPr>
        <w:t>案件、客户和文档系统在哪里，身份源是什么？</w:t>
      </w:r>
    </w:p>
    <w:p>
      <w:pPr>
        <w:pStyle w:val="ListNumber"/>
        <w:numPr>
          <w:ilvl w:val="0"/>
          <w:numId w:val="25"/>
        </w:numPr>
        <w:keepLines/>
      </w:pPr>
      <w:r>
        <w:rPr>
          <w:rFonts w:ascii="Calibri" w:hAnsi="Calibri" w:eastAsia="Microsoft YaHei"/>
          <w:b w:val="0"/>
          <w:color w:val="1F2937"/>
          <w:sz w:val="22"/>
        </w:rPr>
        <w:t>数据分类、云使用、境外模型和移动设备政策是什么？</w:t>
      </w:r>
    </w:p>
    <w:p>
      <w:pPr>
        <w:pStyle w:val="ListNumber"/>
        <w:numPr>
          <w:ilvl w:val="0"/>
          <w:numId w:val="25"/>
        </w:numPr>
        <w:keepLines/>
      </w:pPr>
      <w:r>
        <w:rPr>
          <w:rFonts w:ascii="Calibri" w:hAnsi="Calibri" w:eastAsia="Microsoft YaHei"/>
          <w:b w:val="0"/>
          <w:color w:val="1F2937"/>
          <w:sz w:val="22"/>
        </w:rPr>
        <w:t>是否有等保、ISO、客户安全问卷或审计要求？</w:t>
      </w:r>
    </w:p>
    <w:p>
      <w:pPr>
        <w:pStyle w:val="ListNumber"/>
        <w:numPr>
          <w:ilvl w:val="0"/>
          <w:numId w:val="25"/>
        </w:numPr>
        <w:keepLines/>
      </w:pPr>
      <w:r>
        <w:rPr>
          <w:rFonts w:ascii="Calibri" w:hAnsi="Calibri" w:eastAsia="Microsoft YaHei"/>
          <w:b w:val="0"/>
          <w:color w:val="1F2937"/>
          <w:sz w:val="22"/>
        </w:rPr>
        <w:t>可接受 SaaS、专属云还是本地？密钥由谁管理？</w:t>
      </w:r>
    </w:p>
    <w:p>
      <w:pPr>
        <w:pStyle w:val="ListNumber"/>
        <w:numPr>
          <w:ilvl w:val="0"/>
          <w:numId w:val="25"/>
        </w:numPr>
        <w:keepLines/>
      </w:pPr>
      <w:r>
        <w:rPr>
          <w:rFonts w:ascii="Calibri" w:hAnsi="Calibri" w:eastAsia="Microsoft YaHei"/>
          <w:b w:val="0"/>
          <w:color w:val="1F2937"/>
          <w:sz w:val="22"/>
        </w:rPr>
        <w:t>日志能记录到什么程度，谁能查看正文？</w:t>
      </w:r>
    </w:p>
    <w:p>
      <w:pPr>
        <w:pStyle w:val="ListNumber"/>
        <w:numPr>
          <w:ilvl w:val="0"/>
          <w:numId w:val="25"/>
        </w:numPr>
        <w:keepLines/>
      </w:pPr>
      <w:r>
        <w:rPr>
          <w:rFonts w:ascii="Calibri" w:hAnsi="Calibri" w:eastAsia="Microsoft YaHei"/>
          <w:b w:val="0"/>
          <w:color w:val="1F2937"/>
          <w:sz w:val="22"/>
        </w:rPr>
        <w:t>数据保留、备份、删除、法律保全如何执行？</w:t>
      </w:r>
    </w:p>
    <w:p>
      <w:pPr>
        <w:pStyle w:val="ListNumber"/>
        <w:numPr>
          <w:ilvl w:val="0"/>
          <w:numId w:val="25"/>
        </w:numPr>
        <w:keepLines/>
      </w:pPr>
      <w:r>
        <w:rPr>
          <w:rFonts w:ascii="Calibri" w:hAnsi="Calibri" w:eastAsia="Microsoft YaHei"/>
          <w:b w:val="0"/>
          <w:color w:val="1F2937"/>
          <w:sz w:val="22"/>
        </w:rPr>
        <w:t>第三方和子处理者如何评审？</w:t>
      </w:r>
    </w:p>
    <w:p>
      <w:pPr>
        <w:pStyle w:val="ListNumber"/>
        <w:numPr>
          <w:ilvl w:val="0"/>
          <w:numId w:val="25"/>
        </w:numPr>
        <w:keepLines/>
      </w:pPr>
      <w:r>
        <w:rPr>
          <w:rFonts w:ascii="Calibri" w:hAnsi="Calibri" w:eastAsia="Microsoft YaHei"/>
          <w:b w:val="0"/>
          <w:color w:val="1F2937"/>
          <w:sz w:val="22"/>
        </w:rPr>
        <w:t>安全事件通知时限和证据要求是什么？</w:t>
      </w:r>
    </w:p>
    <w:p>
      <w:pPr>
        <w:pStyle w:val="ListNumber"/>
        <w:numPr>
          <w:ilvl w:val="0"/>
          <w:numId w:val="25"/>
        </w:numPr>
        <w:keepLines/>
      </w:pPr>
      <w:r>
        <w:rPr>
          <w:rFonts w:ascii="Calibri" w:hAnsi="Calibri" w:eastAsia="Microsoft YaHei"/>
          <w:b w:val="0"/>
          <w:color w:val="1F2937"/>
          <w:sz w:val="22"/>
        </w:rPr>
        <w:t>需要哪些 API、DMS、邮箱和 Office 集成？</w:t>
      </w:r>
    </w:p>
    <w:p>
      <w:pPr>
        <w:pStyle w:val="ListNumber"/>
        <w:numPr>
          <w:ilvl w:val="0"/>
          <w:numId w:val="25"/>
        </w:numPr>
        <w:keepLines/>
      </w:pPr>
      <w:r>
        <w:rPr>
          <w:rFonts w:ascii="Calibri" w:hAnsi="Calibri" w:eastAsia="Microsoft YaHei"/>
          <w:b w:val="0"/>
          <w:color w:val="1F2937"/>
          <w:sz w:val="22"/>
        </w:rPr>
        <w:t>通过采购前必须提供哪些证明？</w:t>
      </w:r>
    </w:p>
    <w:p>
      <w:pPr>
        <w:pStyle w:val="Heading1"/>
        <w:keepNext/>
        <w:keepLines/>
      </w:pPr>
      <w:r>
        <w:rPr>
          <w:rFonts w:ascii="Calibri" w:hAnsi="Calibri" w:eastAsia="Microsoft YaHei"/>
          <w:b/>
          <w:color w:val="1F4E79"/>
          <w:sz w:val="32"/>
        </w:rPr>
        <w:t>附录 B：试点评分卡</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2340"/>
        <w:gridCol w:w="2340"/>
        <w:gridCol w:w="2340"/>
        <w:gridCol w:w="2340"/>
      </w:tblGrid>
      <w:tr>
        <w:trPr>
          <w:cantSplit/>
          <w:tblHeader w:val="true"/>
        </w:trPr>
        <w:tc>
          <w:tcPr>
            <w:tcW w:type="dxa" w:w="160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维度</w:t>
            </w:r>
          </w:p>
        </w:tc>
        <w:tc>
          <w:tcPr>
            <w:tcW w:type="dxa" w:w="160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权重</w:t>
            </w:r>
          </w:p>
        </w:tc>
        <w:tc>
          <w:tcPr>
            <w:tcW w:type="dxa" w:w="307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度量</w:t>
            </w:r>
          </w:p>
        </w:tc>
        <w:tc>
          <w:tcPr>
            <w:tcW w:type="dxa" w:w="307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通过标准</w:t>
            </w:r>
          </w:p>
        </w:tc>
      </w:tr>
      <w:tr>
        <w:trPr>
          <w:cantSplit/>
        </w:trPr>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净效率</w:t>
            </w:r>
          </w:p>
        </w:tc>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25%</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完整流程基线 vs AI 流程</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中位净节省 ≥30%</w:t>
            </w:r>
          </w:p>
        </w:tc>
      </w:tr>
      <w:tr>
        <w:trPr>
          <w:cantSplit/>
        </w:trPr>
        <w:tc>
          <w:tcPr>
            <w:tcW w:type="dxa" w:w="16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事实质量</w:t>
            </w:r>
          </w:p>
        </w:tc>
        <w:tc>
          <w:tcPr>
            <w:tcW w:type="dxa" w:w="16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15%</w:t>
            </w:r>
          </w:p>
        </w:tc>
        <w:tc>
          <w:tcPr>
            <w:tcW w:type="dxa" w:w="30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关键事件/金额/日期盲评</w:t>
            </w:r>
          </w:p>
        </w:tc>
        <w:tc>
          <w:tcPr>
            <w:tcW w:type="dxa" w:w="30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不低于人工基线；严重遗漏为 0</w:t>
            </w:r>
          </w:p>
        </w:tc>
      </w:tr>
      <w:tr>
        <w:trPr>
          <w:cantSplit/>
        </w:trPr>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来源与引证</w:t>
            </w:r>
          </w:p>
        </w:tc>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20%</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来源覆盖、有效性、支持性</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重要命题 100%；虚构 0</w:t>
            </w:r>
          </w:p>
        </w:tc>
      </w:tr>
      <w:tr>
        <w:trPr>
          <w:cantSplit/>
        </w:trPr>
        <w:tc>
          <w:tcPr>
            <w:tcW w:type="dxa" w:w="16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律师复核体验</w:t>
            </w:r>
          </w:p>
        </w:tc>
        <w:tc>
          <w:tcPr>
            <w:tcW w:type="dxa" w:w="16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10%</w:t>
            </w:r>
          </w:p>
        </w:tc>
        <w:tc>
          <w:tcPr>
            <w:tcW w:type="dxa" w:w="30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审阅时间、负担、SUS/访谈</w:t>
            </w:r>
          </w:p>
        </w:tc>
        <w:tc>
          <w:tcPr>
            <w:tcW w:type="dxa" w:w="30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多数用户愿继续用于下一案</w:t>
            </w:r>
          </w:p>
        </w:tc>
      </w:tr>
      <w:tr>
        <w:trPr>
          <w:cantSplit/>
        </w:trPr>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缺口发现</w:t>
            </w:r>
          </w:p>
        </w:tc>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10%</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经律师认定有价值的矛盾/缺口</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每案 ≥3 项或由案情校准</w:t>
            </w:r>
          </w:p>
        </w:tc>
      </w:tr>
      <w:tr>
        <w:trPr>
          <w:cantSplit/>
        </w:trPr>
        <w:tc>
          <w:tcPr>
            <w:tcW w:type="dxa" w:w="16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安全合规</w:t>
            </w:r>
          </w:p>
        </w:tc>
        <w:tc>
          <w:tcPr>
            <w:tcW w:type="dxa" w:w="160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15%</w:t>
            </w:r>
          </w:p>
        </w:tc>
        <w:tc>
          <w:tcPr>
            <w:tcW w:type="dxa" w:w="30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越权、路由、审计、导出</w:t>
            </w:r>
          </w:p>
        </w:tc>
        <w:tc>
          <w:tcPr>
            <w:tcW w:type="dxa" w:w="30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高严重度问题 0</w:t>
            </w:r>
          </w:p>
        </w:tc>
      </w:tr>
      <w:tr>
        <w:trPr>
          <w:cantSplit/>
        </w:trPr>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商业意愿</w:t>
            </w:r>
          </w:p>
        </w:tc>
        <w:tc>
          <w:tcPr>
            <w:tcW w:type="dxa" w:w="160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5%</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预算、采购人、年单</w:t>
            </w:r>
          </w:p>
        </w:tc>
        <w:tc>
          <w:tcPr>
            <w:tcW w:type="dxa" w:w="30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明确预算与签约路径</w:t>
            </w:r>
          </w:p>
        </w:tc>
      </w:tr>
    </w:tbl>
    <w:p>
      <w:pPr>
        <w:spacing w:after="0"/>
      </w:pPr>
    </w:p>
    <w:p>
      <w:r>
        <w:rPr>
          <w:rFonts w:ascii="Calibri" w:hAnsi="Calibri" w:eastAsia="Microsoft YaHei"/>
          <w:b w:val="0"/>
          <w:color w:val="1F2937"/>
          <w:sz w:val="22"/>
        </w:rPr>
        <w:t>评分不足 75/100 不进入年单；任何安全/虚构引证红线即使总分达标也不通过。</w:t>
      </w:r>
    </w:p>
    <w:p>
      <w:pPr>
        <w:pStyle w:val="Heading1"/>
        <w:keepNext/>
        <w:keepLines/>
      </w:pPr>
      <w:r>
        <w:rPr>
          <w:rFonts w:ascii="Calibri" w:hAnsi="Calibri" w:eastAsia="Microsoft YaHei"/>
          <w:b/>
          <w:color w:val="1F4E79"/>
          <w:sz w:val="32"/>
        </w:rPr>
        <w:t>附录 C：案件数据分类与处理模板</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1560"/>
        <w:gridCol w:w="1560"/>
        <w:gridCol w:w="1560"/>
        <w:gridCol w:w="1560"/>
        <w:gridCol w:w="1560"/>
        <w:gridCol w:w="1560"/>
      </w:tblGrid>
      <w:tr>
        <w:trPr>
          <w:cantSplit/>
          <w:tblHeader w:val="true"/>
        </w:trPr>
        <w:tc>
          <w:tcPr>
            <w:tcW w:type="dxa" w:w="116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级别</w:t>
            </w:r>
          </w:p>
        </w:tc>
        <w:tc>
          <w:tcPr>
            <w:tcW w:type="dxa" w:w="284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示例</w:t>
            </w:r>
          </w:p>
        </w:tc>
        <w:tc>
          <w:tcPr>
            <w:tcW w:type="dxa" w:w="1495"/>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SaaS</w:t>
            </w:r>
          </w:p>
        </w:tc>
        <w:tc>
          <w:tcPr>
            <w:tcW w:type="dxa" w:w="134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专属云</w:t>
            </w:r>
          </w:p>
        </w:tc>
        <w:tc>
          <w:tcPr>
            <w:tcW w:type="dxa" w:w="116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私有化</w:t>
            </w:r>
          </w:p>
        </w:tc>
        <w:tc>
          <w:tcPr>
            <w:tcW w:type="dxa" w:w="1346"/>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5"/>
              </w:rPr>
              <w:t>外部模型</w:t>
            </w:r>
          </w:p>
        </w:tc>
      </w:tr>
      <w:tr>
        <w:trPr>
          <w:cantSplit/>
        </w:trPr>
        <w:tc>
          <w:tcPr>
            <w:tcW w:type="dxa" w:w="11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L0 公开</w:t>
            </w:r>
          </w:p>
        </w:tc>
        <w:tc>
          <w:tcPr>
            <w:tcW w:type="dxa" w:w="28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公开法规、公开权威案例</w:t>
            </w:r>
          </w:p>
        </w:tc>
        <w:tc>
          <w:tcPr>
            <w:tcW w:type="dxa" w:w="149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允许</w:t>
            </w:r>
          </w:p>
        </w:tc>
        <w:tc>
          <w:tcPr>
            <w:tcW w:type="dxa" w:w="134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允许</w:t>
            </w:r>
          </w:p>
        </w:tc>
        <w:tc>
          <w:tcPr>
            <w:tcW w:type="dxa" w:w="11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允许</w:t>
            </w:r>
          </w:p>
        </w:tc>
        <w:tc>
          <w:tcPr>
            <w:tcW w:type="dxa" w:w="134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按许可和服务策略</w:t>
            </w:r>
          </w:p>
        </w:tc>
      </w:tr>
      <w:tr>
        <w:trPr>
          <w:cantSplit/>
        </w:trPr>
        <w:tc>
          <w:tcPr>
            <w:tcW w:type="dxa" w:w="11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L1 内部</w:t>
            </w:r>
          </w:p>
        </w:tc>
        <w:tc>
          <w:tcPr>
            <w:tcW w:type="dxa" w:w="284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一般模板、内部流程</w:t>
            </w:r>
          </w:p>
        </w:tc>
        <w:tc>
          <w:tcPr>
            <w:tcW w:type="dxa" w:w="149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允许</w:t>
            </w:r>
          </w:p>
        </w:tc>
        <w:tc>
          <w:tcPr>
            <w:tcW w:type="dxa" w:w="134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允许</w:t>
            </w:r>
          </w:p>
        </w:tc>
        <w:tc>
          <w:tcPr>
            <w:tcW w:type="dxa" w:w="11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允许</w:t>
            </w:r>
          </w:p>
        </w:tc>
        <w:tc>
          <w:tcPr>
            <w:tcW w:type="dxa" w:w="134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受控</w:t>
            </w:r>
          </w:p>
        </w:tc>
      </w:tr>
      <w:tr>
        <w:trPr>
          <w:cantSplit/>
        </w:trPr>
        <w:tc>
          <w:tcPr>
            <w:tcW w:type="dxa" w:w="11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L2 案件保密</w:t>
            </w:r>
          </w:p>
        </w:tc>
        <w:tc>
          <w:tcPr>
            <w:tcW w:type="dxa" w:w="28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普通合同、往来、未公开策略</w:t>
            </w:r>
          </w:p>
        </w:tc>
        <w:tc>
          <w:tcPr>
            <w:tcW w:type="dxa" w:w="149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经合同允许</w:t>
            </w:r>
          </w:p>
        </w:tc>
        <w:tc>
          <w:tcPr>
            <w:tcW w:type="dxa" w:w="134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推荐</w:t>
            </w:r>
          </w:p>
        </w:tc>
        <w:tc>
          <w:tcPr>
            <w:tcW w:type="dxa" w:w="11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允许</w:t>
            </w:r>
          </w:p>
        </w:tc>
        <w:tc>
          <w:tcPr>
            <w:tcW w:type="dxa" w:w="134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境内受控；不训练</w:t>
            </w:r>
          </w:p>
        </w:tc>
      </w:tr>
      <w:tr>
        <w:trPr>
          <w:cantSplit/>
        </w:trPr>
        <w:tc>
          <w:tcPr>
            <w:tcW w:type="dxa" w:w="11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L3 高敏</w:t>
            </w:r>
          </w:p>
        </w:tc>
        <w:tc>
          <w:tcPr>
            <w:tcW w:type="dxa" w:w="284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身份证、金融、医疗、商业秘密、调查材料</w:t>
            </w:r>
          </w:p>
        </w:tc>
        <w:tc>
          <w:tcPr>
            <w:tcW w:type="dxa" w:w="1495"/>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严格限制/默认不允许</w:t>
            </w:r>
          </w:p>
        </w:tc>
        <w:tc>
          <w:tcPr>
            <w:tcW w:type="dxa" w:w="134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按策略</w:t>
            </w:r>
          </w:p>
        </w:tc>
        <w:tc>
          <w:tcPr>
            <w:tcW w:type="dxa" w:w="116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推荐</w:t>
            </w:r>
          </w:p>
        </w:tc>
        <w:tc>
          <w:tcPr>
            <w:tcW w:type="dxa" w:w="1346"/>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5"/>
              </w:rPr>
              <w:t>专属/本地；最小化</w:t>
            </w:r>
          </w:p>
        </w:tc>
      </w:tr>
      <w:tr>
        <w:trPr>
          <w:cantSplit/>
        </w:trPr>
        <w:tc>
          <w:tcPr>
            <w:tcW w:type="dxa" w:w="11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L4 特别禁止</w:t>
            </w:r>
          </w:p>
        </w:tc>
        <w:tc>
          <w:tcPr>
            <w:tcW w:type="dxa" w:w="284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国家秘密、工作秘密、客户明令禁止</w:t>
            </w:r>
          </w:p>
        </w:tc>
        <w:tc>
          <w:tcPr>
            <w:tcW w:type="dxa" w:w="1495"/>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禁止</w:t>
            </w:r>
          </w:p>
        </w:tc>
        <w:tc>
          <w:tcPr>
            <w:tcW w:type="dxa" w:w="134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禁止或专门认证环境</w:t>
            </w:r>
          </w:p>
        </w:tc>
        <w:tc>
          <w:tcPr>
            <w:tcW w:type="dxa" w:w="116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仅法定专门系统</w:t>
            </w:r>
          </w:p>
        </w:tc>
        <w:tc>
          <w:tcPr>
            <w:tcW w:type="dxa" w:w="1346"/>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5"/>
              </w:rPr>
              <w:t>禁止</w:t>
            </w:r>
          </w:p>
        </w:tc>
      </w:tr>
    </w:tbl>
    <w:p>
      <w:pPr>
        <w:spacing w:after="0"/>
      </w:pPr>
    </w:p>
    <w:p>
      <w:r>
        <w:rPr>
          <w:rFonts w:ascii="Calibri" w:hAnsi="Calibri" w:eastAsia="Microsoft YaHei"/>
          <w:b w:val="0"/>
          <w:color w:val="1F2937"/>
          <w:sz w:val="22"/>
        </w:rPr>
        <w:t>每个客户应根据自身政策调整示例；系统在文件级、字段级和任务级同时标记，不能只给整个租户一个标签。</w:t>
      </w:r>
    </w:p>
    <w:p>
      <w:pPr>
        <w:pStyle w:val="Heading1"/>
        <w:keepNext/>
        <w:keepLines/>
      </w:pPr>
      <w:r>
        <w:rPr>
          <w:rFonts w:ascii="Calibri" w:hAnsi="Calibri" w:eastAsia="Microsoft YaHei"/>
          <w:b/>
          <w:color w:val="1F4E79"/>
          <w:sz w:val="32"/>
        </w:rPr>
        <w:t>附录 D：外发前律师审核清单</w:t>
      </w:r>
    </w:p>
    <w:p>
      <w:pPr>
        <w:pStyle w:val="ListBullet"/>
        <w:keepLines/>
      </w:pPr>
      <w:r>
        <w:rPr>
          <w:rFonts w:ascii="Calibri" w:hAnsi="Calibri" w:eastAsia="Microsoft YaHei"/>
          <w:b w:val="0"/>
          <w:color w:val="1F2937"/>
          <w:sz w:val="22"/>
        </w:rPr>
        <w:t>☐ 委托范围、当事人、法院/仲裁机构和程序阶段正确；</w:t>
      </w:r>
    </w:p>
    <w:p>
      <w:pPr>
        <w:pStyle w:val="ListBullet"/>
        <w:keepLines/>
      </w:pPr>
      <w:r>
        <w:rPr>
          <w:rFonts w:ascii="Calibri" w:hAnsi="Calibri" w:eastAsia="Microsoft YaHei"/>
          <w:b w:val="0"/>
          <w:color w:val="1F2937"/>
          <w:sz w:val="22"/>
        </w:rPr>
        <w:t>☐ 所有关键事实均为律师确认状态，来源可打开；</w:t>
      </w:r>
    </w:p>
    <w:p>
      <w:pPr>
        <w:pStyle w:val="ListBullet"/>
        <w:keepLines/>
      </w:pPr>
      <w:r>
        <w:rPr>
          <w:rFonts w:ascii="Calibri" w:hAnsi="Calibri" w:eastAsia="Microsoft YaHei"/>
          <w:b w:val="0"/>
          <w:color w:val="1F2937"/>
          <w:sz w:val="22"/>
        </w:rPr>
        <w:t>☐ 没有将系统推论写成确定事实；</w:t>
      </w:r>
    </w:p>
    <w:p>
      <w:pPr>
        <w:pStyle w:val="ListBullet"/>
        <w:keepLines/>
      </w:pPr>
      <w:r>
        <w:rPr>
          <w:rFonts w:ascii="Calibri" w:hAnsi="Calibri" w:eastAsia="Microsoft YaHei"/>
          <w:b w:val="0"/>
          <w:color w:val="1F2937"/>
          <w:sz w:val="22"/>
        </w:rPr>
        <w:t>☐ 金额、利息、期限和时效已由确定性工具重算；</w:t>
      </w:r>
    </w:p>
    <w:p>
      <w:pPr>
        <w:pStyle w:val="ListBullet"/>
        <w:keepLines/>
      </w:pPr>
      <w:r>
        <w:rPr>
          <w:rFonts w:ascii="Calibri" w:hAnsi="Calibri" w:eastAsia="Microsoft YaHei"/>
          <w:b w:val="0"/>
          <w:color w:val="1F2937"/>
          <w:sz w:val="22"/>
        </w:rPr>
        <w:t>☐ 法律法规在目标时点有效，地域和层级适用；</w:t>
      </w:r>
    </w:p>
    <w:p>
      <w:pPr>
        <w:pStyle w:val="ListBullet"/>
        <w:keepLines/>
      </w:pPr>
      <w:r>
        <w:rPr>
          <w:rFonts w:ascii="Calibri" w:hAnsi="Calibri" w:eastAsia="Microsoft YaHei"/>
          <w:b w:val="0"/>
          <w:color w:val="1F2937"/>
          <w:sz w:val="22"/>
        </w:rPr>
        <w:t>☐ 案例真实、裁判层级和参考性质表述准确；</w:t>
      </w:r>
    </w:p>
    <w:p>
      <w:pPr>
        <w:pStyle w:val="ListBullet"/>
        <w:keepLines/>
      </w:pPr>
      <w:r>
        <w:rPr>
          <w:rFonts w:ascii="Calibri" w:hAnsi="Calibri" w:eastAsia="Microsoft YaHei"/>
          <w:b w:val="0"/>
          <w:color w:val="1F2937"/>
          <w:sz w:val="22"/>
        </w:rPr>
        <w:t>☐ 不利事实、反向权威和主要反方主张已考虑；</w:t>
      </w:r>
    </w:p>
    <w:p>
      <w:pPr>
        <w:pStyle w:val="ListBullet"/>
        <w:keepLines/>
      </w:pPr>
      <w:r>
        <w:rPr>
          <w:rFonts w:ascii="Calibri" w:hAnsi="Calibri" w:eastAsia="Microsoft YaHei"/>
          <w:b w:val="0"/>
          <w:color w:val="1F2937"/>
          <w:sz w:val="22"/>
        </w:rPr>
        <w:t>☐ 证据目录与原件编号一致，无缺页/重复/版本错误；</w:t>
      </w:r>
    </w:p>
    <w:p>
      <w:pPr>
        <w:pStyle w:val="ListBullet"/>
        <w:keepLines/>
      </w:pPr>
      <w:r>
        <w:rPr>
          <w:rFonts w:ascii="Calibri" w:hAnsi="Calibri" w:eastAsia="Microsoft YaHei"/>
          <w:b w:val="0"/>
          <w:color w:val="1F2937"/>
          <w:sz w:val="22"/>
        </w:rPr>
        <w:t>☐ 隐私、商业秘密和对外披露范围符合授权；</w:t>
      </w:r>
    </w:p>
    <w:p>
      <w:pPr>
        <w:pStyle w:val="ListBullet"/>
        <w:keepLines/>
      </w:pPr>
      <w:r>
        <w:rPr>
          <w:rFonts w:ascii="Calibri" w:hAnsi="Calibri" w:eastAsia="Microsoft YaHei"/>
          <w:b w:val="0"/>
          <w:color w:val="1F2937"/>
          <w:sz w:val="22"/>
        </w:rPr>
        <w:t>☐ AI 生成合成内容标识策略已按用途应用；</w:t>
      </w:r>
    </w:p>
    <w:p>
      <w:pPr>
        <w:pStyle w:val="ListBullet"/>
        <w:keepLines/>
      </w:pPr>
      <w:r>
        <w:rPr>
          <w:rFonts w:ascii="Calibri" w:hAnsi="Calibri" w:eastAsia="Microsoft YaHei"/>
          <w:b w:val="0"/>
          <w:color w:val="1F2937"/>
          <w:sz w:val="22"/>
        </w:rPr>
        <w:t>☐ 与已批准版本的差异已复核；</w:t>
      </w:r>
    </w:p>
    <w:p>
      <w:pPr>
        <w:pStyle w:val="ListBullet"/>
        <w:keepLines/>
      </w:pPr>
      <w:r>
        <w:rPr>
          <w:rFonts w:ascii="Calibri" w:hAnsi="Calibri" w:eastAsia="Microsoft YaHei"/>
          <w:b w:val="0"/>
          <w:color w:val="1F2937"/>
          <w:sz w:val="22"/>
        </w:rPr>
        <w:t>☐ 负责人、复核人、导出对象和文件哈希已记录。</w:t>
      </w:r>
    </w:p>
    <w:p>
      <w:pPr>
        <w:pStyle w:val="Heading1"/>
        <w:keepNext/>
        <w:keepLines/>
      </w:pPr>
      <w:r>
        <w:rPr>
          <w:rFonts w:ascii="Calibri" w:hAnsi="Calibri" w:eastAsia="Microsoft YaHei"/>
          <w:b/>
          <w:color w:val="1F4E79"/>
          <w:sz w:val="32"/>
        </w:rPr>
        <w:t>附录 E：研究来源</w:t>
      </w:r>
    </w:p>
    <w:p>
      <w:r>
        <w:rPr>
          <w:rFonts w:ascii="Calibri" w:hAnsi="Calibri" w:eastAsia="Microsoft YaHei"/>
          <w:b w:val="0"/>
          <w:color w:val="1F2937"/>
          <w:sz w:val="22"/>
        </w:rPr>
        <w:t>以下来源均在本规划基准日前核查。法规适用需结合最终产品事实和主管口径持续更新。</w:t>
      </w:r>
    </w:p>
    <w:p>
      <w:pPr>
        <w:pStyle w:val="Heading2"/>
        <w:keepNext/>
        <w:keepLines/>
      </w:pPr>
      <w:r>
        <w:rPr>
          <w:rFonts w:ascii="Calibri" w:hAnsi="Calibri" w:eastAsia="Microsoft YaHei"/>
          <w:b/>
          <w:color w:val="1F4E79"/>
          <w:sz w:val="26"/>
        </w:rPr>
        <w:t>E.1 中国法律、监管与标准</w:t>
      </w:r>
    </w:p>
    <w:p>
      <w:pPr>
        <w:pStyle w:val="ListNumber"/>
        <w:numPr>
          <w:ilvl w:val="0"/>
          <w:numId w:val="26"/>
        </w:numPr>
        <w:keepLines/>
      </w:pPr>
      <w:hyperlink r:id="rId11">
        <w:r>
          <w:rPr>
            <w:rFonts w:ascii="Calibri" w:hAnsi="Calibri" w:eastAsia="Microsoft YaHei"/>
            <w:color w:val="1F4E79"/>
            <w:u w:val="single"/>
          </w:rPr>
          <w:t>《中华人民共和国律师法》</w:t>
        </w:r>
      </w:hyperlink>
      <w:r>
        <w:rPr>
          <w:rFonts w:ascii="Calibri" w:hAnsi="Calibri" w:eastAsia="Microsoft YaHei"/>
          <w:b w:val="0"/>
          <w:color w:val="1F2937"/>
          <w:sz w:val="22"/>
        </w:rPr>
        <w:t>——律师资格、业务、保密、冲突和责任。</w:t>
      </w:r>
    </w:p>
    <w:p>
      <w:pPr>
        <w:pStyle w:val="ListNumber"/>
        <w:numPr>
          <w:ilvl w:val="0"/>
          <w:numId w:val="26"/>
        </w:numPr>
        <w:keepLines/>
      </w:pPr>
      <w:hyperlink r:id="rId33">
        <w:r>
          <w:rPr>
            <w:rFonts w:ascii="Calibri" w:hAnsi="Calibri" w:eastAsia="Microsoft YaHei"/>
            <w:color w:val="1F4E79"/>
            <w:u w:val="single"/>
          </w:rPr>
          <w:t>《生成式人工智能服务管理暂行办法》</w:t>
        </w:r>
      </w:hyperlink>
      <w:r>
        <w:rPr>
          <w:rFonts w:ascii="Calibri" w:hAnsi="Calibri" w:eastAsia="Microsoft YaHei"/>
          <w:b w:val="0"/>
          <w:color w:val="1F2937"/>
          <w:sz w:val="22"/>
        </w:rPr>
        <w:t>——适用范围、提供者义务、公开服务、备案与安全评估。</w:t>
      </w:r>
    </w:p>
    <w:p>
      <w:pPr>
        <w:pStyle w:val="ListNumber"/>
        <w:numPr>
          <w:ilvl w:val="0"/>
          <w:numId w:val="26"/>
        </w:numPr>
        <w:keepLines/>
      </w:pPr>
      <w:hyperlink r:id="rId38">
        <w:r>
          <w:rPr>
            <w:rFonts w:ascii="Calibri" w:hAnsi="Calibri" w:eastAsia="Microsoft YaHei"/>
            <w:color w:val="1F4E79"/>
            <w:u w:val="single"/>
          </w:rPr>
          <w:t>《人工智能生成合成内容标识办法》</w:t>
        </w:r>
      </w:hyperlink>
      <w:r>
        <w:rPr>
          <w:rFonts w:ascii="Calibri" w:hAnsi="Calibri" w:eastAsia="Microsoft YaHei"/>
          <w:b w:val="0"/>
          <w:color w:val="1F2937"/>
          <w:sz w:val="22"/>
        </w:rPr>
        <w:t>——显式/隐式标识、导出、日志和生效时间。</w:t>
      </w:r>
    </w:p>
    <w:p>
      <w:pPr>
        <w:pStyle w:val="ListNumber"/>
        <w:numPr>
          <w:ilvl w:val="0"/>
          <w:numId w:val="26"/>
        </w:numPr>
        <w:keepLines/>
      </w:pPr>
      <w:hyperlink r:id="rId46">
        <w:r>
          <w:rPr>
            <w:rFonts w:ascii="Calibri" w:hAnsi="Calibri" w:eastAsia="Microsoft YaHei"/>
            <w:color w:val="1F4E79"/>
            <w:u w:val="single"/>
          </w:rPr>
          <w:t>《互联网信息服务深度合成管理规定》</w:t>
        </w:r>
      </w:hyperlink>
      <w:r>
        <w:rPr>
          <w:rFonts w:ascii="Calibri" w:hAnsi="Calibri" w:eastAsia="Microsoft YaHei"/>
          <w:b w:val="0"/>
          <w:color w:val="1F2937"/>
          <w:sz w:val="22"/>
        </w:rPr>
        <w:t>——深度合成标识、真实身份和日志。</w:t>
      </w:r>
    </w:p>
    <w:p>
      <w:pPr>
        <w:pStyle w:val="ListNumber"/>
        <w:numPr>
          <w:ilvl w:val="0"/>
          <w:numId w:val="26"/>
        </w:numPr>
        <w:keepLines/>
      </w:pPr>
      <w:hyperlink r:id="rId47">
        <w:r>
          <w:rPr>
            <w:rFonts w:ascii="Calibri" w:hAnsi="Calibri" w:eastAsia="Microsoft YaHei"/>
            <w:color w:val="1F4E79"/>
            <w:u w:val="single"/>
          </w:rPr>
          <w:t>《互联网信息服务算法推荐管理规定》</w:t>
        </w:r>
      </w:hyperlink>
      <w:r>
        <w:rPr>
          <w:rFonts w:ascii="Calibri" w:hAnsi="Calibri" w:eastAsia="Microsoft YaHei"/>
          <w:b w:val="0"/>
          <w:color w:val="1F2937"/>
          <w:sz w:val="22"/>
        </w:rPr>
        <w:t>——算法治理、透明、备案和安全评估。</w:t>
      </w:r>
    </w:p>
    <w:p>
      <w:pPr>
        <w:pStyle w:val="ListNumber"/>
        <w:numPr>
          <w:ilvl w:val="0"/>
          <w:numId w:val="26"/>
        </w:numPr>
        <w:keepLines/>
      </w:pPr>
      <w:hyperlink r:id="rId48">
        <w:r>
          <w:rPr>
            <w:rFonts w:ascii="Calibri" w:hAnsi="Calibri" w:eastAsia="Microsoft YaHei"/>
            <w:color w:val="1F4E79"/>
            <w:u w:val="single"/>
          </w:rPr>
          <w:t>生成式人工智能服务已备案信息公告</w:t>
        </w:r>
      </w:hyperlink>
      <w:r>
        <w:rPr>
          <w:rFonts w:ascii="Calibri" w:hAnsi="Calibri" w:eastAsia="Microsoft YaHei"/>
          <w:b w:val="0"/>
          <w:color w:val="1F2937"/>
          <w:sz w:val="22"/>
        </w:rPr>
        <w:t>——境内已备案服务信息入口。</w:t>
      </w:r>
    </w:p>
    <w:p>
      <w:pPr>
        <w:pStyle w:val="ListNumber"/>
        <w:numPr>
          <w:ilvl w:val="0"/>
          <w:numId w:val="26"/>
        </w:numPr>
        <w:keepLines/>
      </w:pPr>
      <w:hyperlink r:id="rId49">
        <w:r>
          <w:rPr>
            <w:rFonts w:ascii="Calibri" w:hAnsi="Calibri" w:eastAsia="Microsoft YaHei"/>
            <w:color w:val="1F4E79"/>
            <w:u w:val="single"/>
          </w:rPr>
          <w:t>算法备案系统</w:t>
        </w:r>
      </w:hyperlink>
      <w:r>
        <w:rPr>
          <w:rFonts w:ascii="Calibri" w:hAnsi="Calibri" w:eastAsia="Microsoft YaHei"/>
          <w:b w:val="0"/>
          <w:color w:val="1F2937"/>
          <w:sz w:val="22"/>
        </w:rPr>
        <w:t>——备案公示与办理入口。</w:t>
      </w:r>
    </w:p>
    <w:p>
      <w:pPr>
        <w:pStyle w:val="ListNumber"/>
        <w:numPr>
          <w:ilvl w:val="0"/>
          <w:numId w:val="26"/>
        </w:numPr>
        <w:keepLines/>
      </w:pPr>
      <w:hyperlink r:id="rId34">
        <w:r>
          <w:rPr>
            <w:rFonts w:ascii="Calibri" w:hAnsi="Calibri" w:eastAsia="Microsoft YaHei"/>
            <w:color w:val="1F4E79"/>
            <w:u w:val="single"/>
          </w:rPr>
          <w:t>《人工智能拟人化互动服务管理暂行办法》</w:t>
        </w:r>
      </w:hyperlink>
      <w:r>
        <w:rPr>
          <w:rFonts w:ascii="Calibri" w:hAnsi="Calibri" w:eastAsia="Microsoft YaHei"/>
          <w:b w:val="0"/>
          <w:color w:val="1F2937"/>
          <w:sz w:val="22"/>
        </w:rPr>
        <w:t>——2026 年拟人化情感互动服务边界及工作助手排除。</w:t>
      </w:r>
    </w:p>
    <w:p>
      <w:pPr>
        <w:pStyle w:val="ListNumber"/>
        <w:numPr>
          <w:ilvl w:val="0"/>
          <w:numId w:val="26"/>
        </w:numPr>
        <w:keepLines/>
      </w:pPr>
      <w:hyperlink r:id="rId31">
        <w:r>
          <w:rPr>
            <w:rFonts w:ascii="Calibri" w:hAnsi="Calibri" w:eastAsia="Microsoft YaHei"/>
            <w:color w:val="1F4E79"/>
            <w:u w:val="single"/>
          </w:rPr>
          <w:t>《个人信息保护法》</w:t>
        </w:r>
      </w:hyperlink>
      <w:r>
        <w:rPr>
          <w:rFonts w:ascii="Calibri" w:hAnsi="Calibri" w:eastAsia="Microsoft YaHei"/>
          <w:b w:val="0"/>
          <w:color w:val="1F2937"/>
          <w:sz w:val="22"/>
        </w:rPr>
        <w:t>——委托处理、敏感信息、跨境、安全措施、PIPIA 和审计。</w:t>
      </w:r>
    </w:p>
    <w:p>
      <w:pPr>
        <w:pStyle w:val="ListNumber"/>
        <w:numPr>
          <w:ilvl w:val="0"/>
          <w:numId w:val="26"/>
        </w:numPr>
        <w:keepLines/>
      </w:pPr>
      <w:hyperlink r:id="rId36">
        <w:r>
          <w:rPr>
            <w:rFonts w:ascii="Calibri" w:hAnsi="Calibri" w:eastAsia="Microsoft YaHei"/>
            <w:color w:val="1F4E79"/>
            <w:u w:val="single"/>
          </w:rPr>
          <w:t>《网络数据安全管理条例》</w:t>
        </w:r>
      </w:hyperlink>
      <w:r>
        <w:rPr>
          <w:rFonts w:ascii="Calibri" w:hAnsi="Calibri" w:eastAsia="Microsoft YaHei"/>
          <w:b w:val="0"/>
          <w:color w:val="1F2937"/>
          <w:sz w:val="22"/>
        </w:rPr>
        <w:t>——网络数据治理、委托处理、事件和分类分级。</w:t>
      </w:r>
    </w:p>
    <w:p>
      <w:pPr>
        <w:pStyle w:val="ListNumber"/>
        <w:numPr>
          <w:ilvl w:val="0"/>
          <w:numId w:val="26"/>
        </w:numPr>
        <w:keepLines/>
      </w:pPr>
      <w:hyperlink r:id="rId30">
        <w:r>
          <w:rPr>
            <w:rFonts w:ascii="Calibri" w:hAnsi="Calibri" w:eastAsia="Microsoft YaHei"/>
            <w:color w:val="1F4E79"/>
            <w:u w:val="single"/>
          </w:rPr>
          <w:t>《促进和规范数据跨境流动规定》</w:t>
        </w:r>
      </w:hyperlink>
      <w:r>
        <w:rPr>
          <w:rFonts w:ascii="Calibri" w:hAnsi="Calibri" w:eastAsia="Microsoft YaHei"/>
          <w:b w:val="0"/>
          <w:color w:val="1F2937"/>
          <w:sz w:val="22"/>
        </w:rPr>
        <w:t>——出境程序门槛和豁免。</w:t>
      </w:r>
    </w:p>
    <w:p>
      <w:pPr>
        <w:pStyle w:val="ListNumber"/>
        <w:numPr>
          <w:ilvl w:val="0"/>
          <w:numId w:val="26"/>
        </w:numPr>
        <w:keepLines/>
      </w:pPr>
      <w:hyperlink r:id="rId50">
        <w:r>
          <w:rPr>
            <w:rFonts w:ascii="Calibri" w:hAnsi="Calibri" w:eastAsia="Microsoft YaHei"/>
            <w:color w:val="1F4E79"/>
            <w:u w:val="single"/>
          </w:rPr>
          <w:t>《中华人民共和国数据安全法》</w:t>
        </w:r>
      </w:hyperlink>
      <w:r>
        <w:rPr>
          <w:rFonts w:ascii="Calibri" w:hAnsi="Calibri" w:eastAsia="Microsoft YaHei"/>
          <w:b w:val="0"/>
          <w:color w:val="1F2937"/>
          <w:sz w:val="22"/>
        </w:rPr>
        <w:t>——数据分类分级、重要数据与安全义务。</w:t>
      </w:r>
    </w:p>
    <w:p>
      <w:pPr>
        <w:pStyle w:val="ListNumber"/>
        <w:numPr>
          <w:ilvl w:val="0"/>
          <w:numId w:val="26"/>
        </w:numPr>
        <w:keepLines/>
      </w:pPr>
      <w:hyperlink r:id="rId37">
        <w:r>
          <w:rPr>
            <w:rFonts w:ascii="Calibri" w:hAnsi="Calibri" w:eastAsia="Microsoft YaHei"/>
            <w:color w:val="1F4E79"/>
            <w:u w:val="single"/>
          </w:rPr>
          <w:t>《中华人民共和国保守国家秘密法》</w:t>
        </w:r>
      </w:hyperlink>
      <w:r>
        <w:rPr>
          <w:rFonts w:ascii="Calibri" w:hAnsi="Calibri" w:eastAsia="Microsoft YaHei"/>
          <w:b w:val="0"/>
          <w:color w:val="1F2937"/>
          <w:sz w:val="22"/>
        </w:rPr>
        <w:t>——国家秘密案件边界。</w:t>
      </w:r>
    </w:p>
    <w:p>
      <w:pPr>
        <w:pStyle w:val="ListNumber"/>
        <w:numPr>
          <w:ilvl w:val="0"/>
          <w:numId w:val="26"/>
        </w:numPr>
        <w:keepLines/>
      </w:pPr>
      <w:hyperlink r:id="rId39">
        <w:r>
          <w:rPr>
            <w:rFonts w:ascii="Calibri" w:hAnsi="Calibri" w:eastAsia="Microsoft YaHei"/>
            <w:color w:val="1F4E79"/>
            <w:u w:val="single"/>
          </w:rPr>
          <w:t>《互联网信息服务管理办法》</w:t>
        </w:r>
      </w:hyperlink>
      <w:r>
        <w:rPr>
          <w:rFonts w:ascii="Calibri" w:hAnsi="Calibri" w:eastAsia="Microsoft YaHei"/>
          <w:b w:val="0"/>
          <w:color w:val="1F2937"/>
          <w:sz w:val="22"/>
        </w:rPr>
        <w:t>——经营性许可和非经营性备案框架。</w:t>
      </w:r>
    </w:p>
    <w:p>
      <w:pPr>
        <w:pStyle w:val="ListNumber"/>
        <w:numPr>
          <w:ilvl w:val="0"/>
          <w:numId w:val="26"/>
        </w:numPr>
        <w:keepLines/>
      </w:pPr>
      <w:hyperlink r:id="rId44">
        <w:r>
          <w:rPr>
            <w:rFonts w:ascii="Calibri" w:hAnsi="Calibri" w:eastAsia="Microsoft YaHei"/>
            <w:color w:val="1F4E79"/>
            <w:u w:val="single"/>
          </w:rPr>
          <w:t>最高人民法院关于规范和加强人工智能司法应用的意见</w:t>
        </w:r>
      </w:hyperlink>
      <w:r>
        <w:rPr>
          <w:rFonts w:ascii="Calibri" w:hAnsi="Calibri" w:eastAsia="Microsoft YaHei"/>
          <w:b w:val="0"/>
          <w:color w:val="1F2937"/>
          <w:sz w:val="22"/>
        </w:rPr>
        <w:t>——辅助、透明、可验证和责任原则。</w:t>
      </w:r>
    </w:p>
    <w:p>
      <w:pPr>
        <w:pStyle w:val="ListNumber"/>
        <w:numPr>
          <w:ilvl w:val="0"/>
          <w:numId w:val="26"/>
        </w:numPr>
        <w:keepLines/>
      </w:pPr>
      <w:hyperlink r:id="rId29">
        <w:r>
          <w:rPr>
            <w:rFonts w:ascii="Calibri" w:hAnsi="Calibri" w:eastAsia="Microsoft YaHei"/>
            <w:color w:val="1F4E79"/>
            <w:u w:val="single"/>
          </w:rPr>
          <w:t>人民法院案例库建设运行工作规程</w:t>
        </w:r>
      </w:hyperlink>
      <w:r>
        <w:rPr>
          <w:rFonts w:ascii="Calibri" w:hAnsi="Calibri" w:eastAsia="Microsoft YaHei"/>
          <w:b w:val="0"/>
          <w:color w:val="1F2937"/>
          <w:sz w:val="22"/>
        </w:rPr>
        <w:t>——权威案例库范围与用途。</w:t>
      </w:r>
    </w:p>
    <w:p>
      <w:pPr>
        <w:pStyle w:val="ListNumber"/>
        <w:numPr>
          <w:ilvl w:val="0"/>
          <w:numId w:val="26"/>
        </w:numPr>
        <w:keepLines/>
      </w:pPr>
      <w:hyperlink r:id="rId51">
        <w:r>
          <w:rPr>
            <w:rFonts w:ascii="Calibri" w:hAnsi="Calibri" w:eastAsia="Microsoft YaHei"/>
            <w:color w:val="1F4E79"/>
            <w:u w:val="single"/>
          </w:rPr>
          <w:t>人民法院案例库上线说明</w:t>
        </w:r>
      </w:hyperlink>
      <w:r>
        <w:rPr>
          <w:rFonts w:ascii="Calibri" w:hAnsi="Calibri" w:eastAsia="Microsoft YaHei"/>
          <w:b w:val="0"/>
          <w:color w:val="1F2937"/>
          <w:sz w:val="22"/>
        </w:rPr>
        <w:t>——案例库公共服务定位。</w:t>
      </w:r>
    </w:p>
    <w:p>
      <w:pPr>
        <w:pStyle w:val="ListNumber"/>
        <w:numPr>
          <w:ilvl w:val="0"/>
          <w:numId w:val="26"/>
        </w:numPr>
        <w:keepLines/>
      </w:pPr>
      <w:hyperlink r:id="rId28">
        <w:r>
          <w:rPr>
            <w:rFonts w:ascii="Calibri" w:hAnsi="Calibri" w:eastAsia="Microsoft YaHei"/>
            <w:color w:val="1F4E79"/>
            <w:u w:val="single"/>
          </w:rPr>
          <w:t>国家法律法规数据库</w:t>
        </w:r>
      </w:hyperlink>
      <w:r>
        <w:rPr>
          <w:rFonts w:ascii="Calibri" w:hAnsi="Calibri" w:eastAsia="Microsoft YaHei"/>
          <w:b w:val="0"/>
          <w:color w:val="1F2937"/>
          <w:sz w:val="22"/>
        </w:rPr>
        <w:t>——全国人大常委会办公厅维护的权威法源入口。</w:t>
      </w:r>
    </w:p>
    <w:p>
      <w:pPr>
        <w:pStyle w:val="ListNumber"/>
        <w:numPr>
          <w:ilvl w:val="0"/>
          <w:numId w:val="26"/>
        </w:numPr>
        <w:keepLines/>
      </w:pPr>
      <w:hyperlink r:id="rId35">
        <w:r>
          <w:rPr>
            <w:rFonts w:ascii="Calibri" w:hAnsi="Calibri" w:eastAsia="Microsoft YaHei"/>
            <w:color w:val="1F4E79"/>
            <w:u w:val="single"/>
          </w:rPr>
          <w:t>上海市律师协会 AI 工具使用指引（2025 试行）</w:t>
        </w:r>
      </w:hyperlink>
      <w:r>
        <w:rPr>
          <w:rFonts w:ascii="Calibri" w:hAnsi="Calibri" w:eastAsia="Microsoft YaHei"/>
          <w:b w:val="0"/>
          <w:color w:val="1F2937"/>
          <w:sz w:val="22"/>
        </w:rPr>
        <w:t>——律师审核、保密、云端脱敏、法源核验和记录。</w:t>
      </w:r>
    </w:p>
    <w:p>
      <w:pPr>
        <w:pStyle w:val="ListNumber"/>
        <w:numPr>
          <w:ilvl w:val="0"/>
          <w:numId w:val="26"/>
        </w:numPr>
        <w:keepLines/>
      </w:pPr>
      <w:hyperlink r:id="rId52">
        <w:r>
          <w:rPr>
            <w:rFonts w:ascii="Calibri" w:hAnsi="Calibri" w:eastAsia="Microsoft YaHei"/>
            <w:color w:val="1F4E79"/>
            <w:u w:val="single"/>
          </w:rPr>
          <w:t>司法部关于合理利用 AI 工具的行业文章</w:t>
        </w:r>
      </w:hyperlink>
      <w:r>
        <w:rPr>
          <w:rFonts w:ascii="Calibri" w:hAnsi="Calibri" w:eastAsia="Microsoft YaHei"/>
          <w:b w:val="0"/>
          <w:color w:val="1F2937"/>
          <w:sz w:val="22"/>
        </w:rPr>
        <w:t>——AI 提效与律师独立审核。</w:t>
      </w:r>
    </w:p>
    <w:p>
      <w:pPr>
        <w:pStyle w:val="ListNumber"/>
        <w:numPr>
          <w:ilvl w:val="0"/>
          <w:numId w:val="26"/>
        </w:numPr>
        <w:keepLines/>
      </w:pPr>
      <w:hyperlink r:id="rId12">
        <w:r>
          <w:rPr>
            <w:rFonts w:ascii="Calibri" w:hAnsi="Calibri" w:eastAsia="Microsoft YaHei"/>
            <w:color w:val="1F4E79"/>
            <w:u w:val="single"/>
          </w:rPr>
          <w:t>司法部律师工作统计（2022）</w:t>
        </w:r>
      </w:hyperlink>
      <w:r>
        <w:rPr>
          <w:rFonts w:ascii="Calibri" w:hAnsi="Calibri" w:eastAsia="Microsoft YaHei"/>
          <w:b w:val="0"/>
          <w:color w:val="1F2937"/>
          <w:sz w:val="22"/>
        </w:rPr>
        <w:t>——律所规模分布与行业结构。</w:t>
      </w:r>
    </w:p>
    <w:p>
      <w:pPr>
        <w:pStyle w:val="ListNumber"/>
        <w:numPr>
          <w:ilvl w:val="0"/>
          <w:numId w:val="26"/>
        </w:numPr>
        <w:keepLines/>
      </w:pPr>
      <w:hyperlink r:id="rId40">
        <w:r>
          <w:rPr>
            <w:rFonts w:ascii="Calibri" w:hAnsi="Calibri" w:eastAsia="Microsoft YaHei"/>
            <w:color w:val="1F4E79"/>
            <w:u w:val="single"/>
          </w:rPr>
          <w:t>GB/T 22239—2019 网络安全等级保护基本要求</w:t>
        </w:r>
      </w:hyperlink>
      <w:r>
        <w:rPr>
          <w:rFonts w:ascii="Calibri" w:hAnsi="Calibri" w:eastAsia="Microsoft YaHei"/>
          <w:b w:val="0"/>
          <w:color w:val="1F2937"/>
          <w:sz w:val="22"/>
        </w:rPr>
        <w:t>。</w:t>
      </w:r>
    </w:p>
    <w:p>
      <w:pPr>
        <w:pStyle w:val="ListNumber"/>
        <w:numPr>
          <w:ilvl w:val="0"/>
          <w:numId w:val="26"/>
        </w:numPr>
        <w:keepLines/>
      </w:pPr>
      <w:hyperlink r:id="rId41">
        <w:r>
          <w:rPr>
            <w:rFonts w:ascii="Calibri" w:hAnsi="Calibri" w:eastAsia="Microsoft YaHei"/>
            <w:color w:val="1F4E79"/>
            <w:u w:val="single"/>
          </w:rPr>
          <w:t>GB/T 43697—2024 数据分类分级规则</w:t>
        </w:r>
      </w:hyperlink>
      <w:r>
        <w:rPr>
          <w:rFonts w:ascii="Calibri" w:hAnsi="Calibri" w:eastAsia="Microsoft YaHei"/>
          <w:b w:val="0"/>
          <w:color w:val="1F2937"/>
          <w:sz w:val="22"/>
        </w:rPr>
        <w:t>。</w:t>
      </w:r>
    </w:p>
    <w:p>
      <w:pPr>
        <w:pStyle w:val="ListNumber"/>
        <w:numPr>
          <w:ilvl w:val="0"/>
          <w:numId w:val="26"/>
        </w:numPr>
        <w:keepLines/>
      </w:pPr>
      <w:hyperlink r:id="rId42">
        <w:r>
          <w:rPr>
            <w:rFonts w:ascii="Calibri" w:hAnsi="Calibri" w:eastAsia="Microsoft YaHei"/>
            <w:color w:val="1F4E79"/>
            <w:u w:val="single"/>
          </w:rPr>
          <w:t>GB/T 35273—2020 个人信息安全规范</w:t>
        </w:r>
      </w:hyperlink>
      <w:r>
        <w:rPr>
          <w:rFonts w:ascii="Calibri" w:hAnsi="Calibri" w:eastAsia="Microsoft YaHei"/>
          <w:b w:val="0"/>
          <w:color w:val="1F2937"/>
          <w:sz w:val="22"/>
        </w:rPr>
        <w:t>。</w:t>
      </w:r>
    </w:p>
    <w:p>
      <w:pPr>
        <w:pStyle w:val="ListNumber"/>
        <w:numPr>
          <w:ilvl w:val="0"/>
          <w:numId w:val="26"/>
        </w:numPr>
        <w:keepLines/>
      </w:pPr>
      <w:hyperlink r:id="rId43">
        <w:r>
          <w:rPr>
            <w:rFonts w:ascii="Calibri" w:hAnsi="Calibri" w:eastAsia="Microsoft YaHei"/>
            <w:color w:val="1F4E79"/>
            <w:u w:val="single"/>
          </w:rPr>
          <w:t>GB/T 45654—2025 生成式人工智能服务安全基本要求</w:t>
        </w:r>
      </w:hyperlink>
      <w:r>
        <w:rPr>
          <w:rFonts w:ascii="Calibri" w:hAnsi="Calibri" w:eastAsia="Microsoft YaHei"/>
          <w:b w:val="0"/>
          <w:color w:val="1F2937"/>
          <w:sz w:val="22"/>
        </w:rPr>
        <w:t>。</w:t>
      </w:r>
    </w:p>
    <w:p>
      <w:pPr>
        <w:pStyle w:val="ListNumber"/>
        <w:numPr>
          <w:ilvl w:val="0"/>
          <w:numId w:val="26"/>
        </w:numPr>
        <w:keepLines/>
      </w:pPr>
      <w:hyperlink r:id="rId53">
        <w:r>
          <w:rPr>
            <w:rFonts w:ascii="Calibri" w:hAnsi="Calibri" w:eastAsia="Microsoft YaHei"/>
            <w:color w:val="1F4E79"/>
            <w:u w:val="single"/>
          </w:rPr>
          <w:t>TC260 人工智能安全治理框架</w:t>
        </w:r>
      </w:hyperlink>
      <w:r>
        <w:rPr>
          <w:rFonts w:ascii="Calibri" w:hAnsi="Calibri" w:eastAsia="Microsoft YaHei"/>
          <w:b w:val="0"/>
          <w:color w:val="1F2937"/>
          <w:sz w:val="22"/>
        </w:rPr>
        <w:t>——治理参考框架。</w:t>
      </w:r>
    </w:p>
    <w:p>
      <w:pPr>
        <w:pStyle w:val="Heading2"/>
        <w:keepNext/>
        <w:keepLines/>
      </w:pPr>
      <w:r>
        <w:rPr>
          <w:rFonts w:ascii="Calibri" w:hAnsi="Calibri" w:eastAsia="Microsoft YaHei"/>
          <w:b/>
          <w:color w:val="1F4E79"/>
          <w:sz w:val="26"/>
        </w:rPr>
        <w:t>E.2 市场与产品</w:t>
      </w:r>
    </w:p>
    <w:p>
      <w:pPr>
        <w:pStyle w:val="ListNumber"/>
        <w:numPr>
          <w:ilvl w:val="0"/>
          <w:numId w:val="27"/>
        </w:numPr>
        <w:keepLines/>
      </w:pPr>
      <w:hyperlink r:id="rId13">
        <w:r>
          <w:rPr>
            <w:rFonts w:ascii="Calibri" w:hAnsi="Calibri" w:eastAsia="Microsoft YaHei"/>
            <w:color w:val="1F4E79"/>
            <w:u w:val="single"/>
          </w:rPr>
          <w:t>iCourt Alpha</w:t>
        </w:r>
      </w:hyperlink>
      <w:r>
        <w:rPr>
          <w:rFonts w:ascii="Calibri" w:hAnsi="Calibri" w:eastAsia="Microsoft YaHei"/>
          <w:b w:val="0"/>
          <w:color w:val="1F2937"/>
          <w:sz w:val="22"/>
        </w:rPr>
        <w:t>——国内法律智能操作系统与功能范围。</w:t>
      </w:r>
    </w:p>
    <w:p>
      <w:pPr>
        <w:pStyle w:val="ListNumber"/>
        <w:numPr>
          <w:ilvl w:val="0"/>
          <w:numId w:val="27"/>
        </w:numPr>
        <w:keepLines/>
      </w:pPr>
      <w:hyperlink r:id="rId14">
        <w:r>
          <w:rPr>
            <w:rFonts w:ascii="Calibri" w:hAnsi="Calibri" w:eastAsia="Microsoft YaHei"/>
            <w:color w:val="1F4E79"/>
            <w:u w:val="single"/>
          </w:rPr>
          <w:t>北大法宝 MCP</w:t>
        </w:r>
      </w:hyperlink>
      <w:r>
        <w:rPr>
          <w:rFonts w:ascii="Calibri" w:hAnsi="Calibri" w:eastAsia="Microsoft YaHei"/>
          <w:b w:val="0"/>
          <w:color w:val="1F2937"/>
          <w:sz w:val="22"/>
        </w:rPr>
        <w:t>——法律数据与 MCP 服务方向。</w:t>
      </w:r>
    </w:p>
    <w:p>
      <w:pPr>
        <w:pStyle w:val="ListNumber"/>
        <w:numPr>
          <w:ilvl w:val="0"/>
          <w:numId w:val="27"/>
        </w:numPr>
        <w:keepLines/>
      </w:pPr>
      <w:hyperlink r:id="rId15">
        <w:r>
          <w:rPr>
            <w:rFonts w:ascii="Calibri" w:hAnsi="Calibri" w:eastAsia="Microsoft YaHei"/>
            <w:color w:val="1F4E79"/>
            <w:u w:val="single"/>
          </w:rPr>
          <w:t>威科先行 AI+</w:t>
        </w:r>
      </w:hyperlink>
      <w:r>
        <w:rPr>
          <w:rFonts w:ascii="Calibri" w:hAnsi="Calibri" w:eastAsia="Microsoft YaHei"/>
          <w:b w:val="0"/>
          <w:color w:val="1F2937"/>
          <w:sz w:val="22"/>
        </w:rPr>
        <w:t>——法律内容与 AI 工具结合。</w:t>
      </w:r>
    </w:p>
    <w:p>
      <w:pPr>
        <w:pStyle w:val="ListNumber"/>
        <w:numPr>
          <w:ilvl w:val="0"/>
          <w:numId w:val="27"/>
        </w:numPr>
        <w:keepLines/>
      </w:pPr>
      <w:hyperlink r:id="rId16">
        <w:r>
          <w:rPr>
            <w:rFonts w:ascii="Calibri" w:hAnsi="Calibri" w:eastAsia="Microsoft YaHei"/>
            <w:color w:val="1F4E79"/>
            <w:u w:val="single"/>
          </w:rPr>
          <w:t>元典开放平台</w:t>
        </w:r>
      </w:hyperlink>
      <w:r>
        <w:rPr>
          <w:rFonts w:ascii="Calibri" w:hAnsi="Calibri" w:eastAsia="Microsoft YaHei"/>
          <w:b w:val="0"/>
          <w:color w:val="1F2937"/>
          <w:sz w:val="22"/>
        </w:rPr>
        <w:t>——法源校验与幻觉检测 API。</w:t>
      </w:r>
    </w:p>
    <w:p>
      <w:pPr>
        <w:pStyle w:val="ListNumber"/>
        <w:numPr>
          <w:ilvl w:val="0"/>
          <w:numId w:val="27"/>
        </w:numPr>
        <w:keepLines/>
      </w:pPr>
      <w:hyperlink r:id="rId17">
        <w:r>
          <w:rPr>
            <w:rFonts w:ascii="Calibri" w:hAnsi="Calibri" w:eastAsia="Microsoft YaHei"/>
            <w:color w:val="1F4E79"/>
            <w:u w:val="single"/>
          </w:rPr>
          <w:t>Harvey</w:t>
        </w:r>
      </w:hyperlink>
      <w:r>
        <w:rPr>
          <w:rFonts w:ascii="Calibri" w:hAnsi="Calibri" w:eastAsia="Microsoft YaHei"/>
          <w:b w:val="0"/>
          <w:color w:val="1F2937"/>
          <w:sz w:val="22"/>
        </w:rPr>
        <w:t>——专业服务 AI 工作平台。</w:t>
      </w:r>
    </w:p>
    <w:p>
      <w:pPr>
        <w:pStyle w:val="ListNumber"/>
        <w:numPr>
          <w:ilvl w:val="0"/>
          <w:numId w:val="27"/>
        </w:numPr>
        <w:keepLines/>
      </w:pPr>
      <w:hyperlink r:id="rId18">
        <w:r>
          <w:rPr>
            <w:rFonts w:ascii="Calibri" w:hAnsi="Calibri" w:eastAsia="Microsoft YaHei"/>
            <w:color w:val="1F4E79"/>
            <w:u w:val="single"/>
          </w:rPr>
          <w:t>Legora</w:t>
        </w:r>
      </w:hyperlink>
      <w:r>
        <w:rPr>
          <w:rFonts w:ascii="Calibri" w:hAnsi="Calibri" w:eastAsia="Microsoft YaHei"/>
          <w:b w:val="0"/>
          <w:color w:val="1F2937"/>
          <w:sz w:val="22"/>
        </w:rPr>
        <w:t>——法律协作、编辑和知识工作台。</w:t>
      </w:r>
    </w:p>
    <w:p>
      <w:pPr>
        <w:pStyle w:val="ListNumber"/>
        <w:numPr>
          <w:ilvl w:val="0"/>
          <w:numId w:val="27"/>
        </w:numPr>
        <w:keepLines/>
      </w:pPr>
      <w:hyperlink r:id="rId19">
        <w:r>
          <w:rPr>
            <w:rFonts w:ascii="Calibri" w:hAnsi="Calibri" w:eastAsia="Microsoft YaHei"/>
            <w:color w:val="1F4E79"/>
            <w:u w:val="single"/>
          </w:rPr>
          <w:t>Thomson Reuters CoCounsel Legal</w:t>
        </w:r>
      </w:hyperlink>
      <w:r>
        <w:rPr>
          <w:rFonts w:ascii="Calibri" w:hAnsi="Calibri" w:eastAsia="Microsoft YaHei"/>
          <w:b w:val="0"/>
          <w:color w:val="1F2937"/>
          <w:sz w:val="22"/>
        </w:rPr>
        <w:t>——权威内容、研究、起草和 agentic workflow。</w:t>
      </w:r>
    </w:p>
    <w:p>
      <w:pPr>
        <w:pStyle w:val="ListNumber"/>
        <w:numPr>
          <w:ilvl w:val="0"/>
          <w:numId w:val="27"/>
        </w:numPr>
        <w:keepLines/>
      </w:pPr>
      <w:hyperlink r:id="rId20">
        <w:r>
          <w:rPr>
            <w:rFonts w:ascii="Calibri" w:hAnsi="Calibri" w:eastAsia="Microsoft YaHei"/>
            <w:color w:val="1F4E79"/>
            <w:u w:val="single"/>
          </w:rPr>
          <w:t>Lexis+ with Protégé</w:t>
        </w:r>
      </w:hyperlink>
      <w:r>
        <w:rPr>
          <w:rFonts w:ascii="Calibri" w:hAnsi="Calibri" w:eastAsia="Microsoft YaHei"/>
          <w:b w:val="0"/>
          <w:color w:val="1F2937"/>
          <w:sz w:val="22"/>
        </w:rPr>
        <w:t>——研究、起草与 Shepard’s 引证验证。</w:t>
      </w:r>
    </w:p>
    <w:p>
      <w:pPr>
        <w:pStyle w:val="ListNumber"/>
        <w:numPr>
          <w:ilvl w:val="0"/>
          <w:numId w:val="27"/>
        </w:numPr>
        <w:keepLines/>
      </w:pPr>
      <w:hyperlink r:id="rId21">
        <w:r>
          <w:rPr>
            <w:rFonts w:ascii="Calibri" w:hAnsi="Calibri" w:eastAsia="Microsoft YaHei"/>
            <w:color w:val="1F4E79"/>
            <w:u w:val="single"/>
          </w:rPr>
          <w:t>Clio Legal AI</w:t>
        </w:r>
      </w:hyperlink>
      <w:r>
        <w:rPr>
          <w:rFonts w:ascii="Calibri" w:hAnsi="Calibri" w:eastAsia="Microsoft YaHei"/>
          <w:b w:val="0"/>
          <w:color w:val="1F2937"/>
          <w:sz w:val="22"/>
        </w:rPr>
        <w:t>——案件系统内动作、审批与权限感知。</w:t>
      </w:r>
    </w:p>
    <w:p>
      <w:pPr>
        <w:pStyle w:val="ListNumber"/>
        <w:numPr>
          <w:ilvl w:val="0"/>
          <w:numId w:val="27"/>
        </w:numPr>
        <w:keepLines/>
      </w:pPr>
      <w:hyperlink r:id="rId22">
        <w:r>
          <w:rPr>
            <w:rFonts w:ascii="Calibri" w:hAnsi="Calibri" w:eastAsia="Microsoft YaHei"/>
            <w:color w:val="1F4E79"/>
            <w:u w:val="single"/>
          </w:rPr>
          <w:t>RelativityOne / aiR</w:t>
        </w:r>
      </w:hyperlink>
      <w:r>
        <w:rPr>
          <w:rFonts w:ascii="Calibri" w:hAnsi="Calibri" w:eastAsia="Microsoft YaHei"/>
          <w:b w:val="0"/>
          <w:color w:val="1F2937"/>
          <w:sz w:val="22"/>
        </w:rPr>
        <w:t>——电子取证和大规模文档审阅。</w:t>
      </w:r>
    </w:p>
    <w:p>
      <w:pPr>
        <w:pStyle w:val="ListNumber"/>
        <w:numPr>
          <w:ilvl w:val="0"/>
          <w:numId w:val="27"/>
        </w:numPr>
        <w:keepLines/>
      </w:pPr>
      <w:hyperlink r:id="rId23">
        <w:r>
          <w:rPr>
            <w:rFonts w:ascii="Calibri" w:hAnsi="Calibri" w:eastAsia="Microsoft YaHei"/>
            <w:color w:val="1F4E79"/>
            <w:u w:val="single"/>
          </w:rPr>
          <w:t>Luminance</w:t>
        </w:r>
      </w:hyperlink>
      <w:r>
        <w:rPr>
          <w:rFonts w:ascii="Calibri" w:hAnsi="Calibri" w:eastAsia="Microsoft YaHei"/>
          <w:b w:val="0"/>
          <w:color w:val="1F2937"/>
          <w:sz w:val="22"/>
        </w:rPr>
        <w:t>——合同审阅和 Word 工作流。</w:t>
      </w:r>
    </w:p>
    <w:p>
      <w:pPr>
        <w:pStyle w:val="ListNumber"/>
        <w:numPr>
          <w:ilvl w:val="0"/>
          <w:numId w:val="27"/>
        </w:numPr>
        <w:keepLines/>
      </w:pPr>
      <w:hyperlink r:id="rId24">
        <w:r>
          <w:rPr>
            <w:rFonts w:ascii="Calibri" w:hAnsi="Calibri" w:eastAsia="Microsoft YaHei"/>
            <w:color w:val="1F4E79"/>
            <w:u w:val="single"/>
          </w:rPr>
          <w:t>2025 Generative AI in Professional Services</w:t>
        </w:r>
      </w:hyperlink>
      <w:r>
        <w:rPr>
          <w:rFonts w:ascii="Calibri" w:hAnsi="Calibri" w:eastAsia="Microsoft YaHei"/>
          <w:b w:val="0"/>
          <w:color w:val="1F2937"/>
          <w:sz w:val="22"/>
        </w:rPr>
        <w:t>——全球专业服务采用研究，作方向性参考。</w:t>
      </w:r>
    </w:p>
    <w:p>
      <w:pPr>
        <w:pStyle w:val="Heading2"/>
        <w:keepNext/>
        <w:keepLines/>
      </w:pPr>
      <w:r>
        <w:rPr>
          <w:rFonts w:ascii="Calibri" w:hAnsi="Calibri" w:eastAsia="Microsoft YaHei"/>
          <w:b/>
          <w:color w:val="1F4E79"/>
          <w:sz w:val="26"/>
        </w:rPr>
        <w:t>E.3 可靠性、伦理与治理</w:t>
      </w:r>
    </w:p>
    <w:p>
      <w:pPr>
        <w:pStyle w:val="ListNumber"/>
        <w:numPr>
          <w:ilvl w:val="0"/>
          <w:numId w:val="28"/>
        </w:numPr>
        <w:keepLines/>
      </w:pPr>
      <w:hyperlink r:id="rId26">
        <w:r>
          <w:rPr>
            <w:rFonts w:ascii="Calibri" w:hAnsi="Calibri" w:eastAsia="Microsoft YaHei"/>
            <w:color w:val="1F4E79"/>
            <w:u w:val="single"/>
          </w:rPr>
          <w:t>Stanford: Hallucination-Free?</w:t>
        </w:r>
      </w:hyperlink>
      <w:r>
        <w:rPr>
          <w:rFonts w:ascii="Calibri" w:hAnsi="Calibri" w:eastAsia="Microsoft YaHei"/>
          <w:b w:val="0"/>
          <w:color w:val="1F2937"/>
          <w:sz w:val="22"/>
        </w:rPr>
        <w:t>——法律 RAG 产品幻觉实证研究。</w:t>
      </w:r>
    </w:p>
    <w:p>
      <w:pPr>
        <w:pStyle w:val="ListNumber"/>
        <w:numPr>
          <w:ilvl w:val="0"/>
          <w:numId w:val="28"/>
        </w:numPr>
        <w:keepLines/>
      </w:pPr>
      <w:hyperlink r:id="rId54">
        <w:r>
          <w:rPr>
            <w:rFonts w:ascii="Calibri" w:hAnsi="Calibri" w:eastAsia="Microsoft YaHei"/>
            <w:color w:val="1F4E79"/>
            <w:u w:val="single"/>
          </w:rPr>
          <w:t>ABA Formal Opinion 512</w:t>
        </w:r>
      </w:hyperlink>
      <w:r>
        <w:rPr>
          <w:rFonts w:ascii="Calibri" w:hAnsi="Calibri" w:eastAsia="Microsoft YaHei"/>
          <w:b w:val="0"/>
          <w:color w:val="1F2937"/>
          <w:sz w:val="22"/>
        </w:rPr>
        <w:t>——律师使用生成式 AI 的能力、保密、沟通和收费伦理参考。</w:t>
      </w:r>
    </w:p>
    <w:p>
      <w:pPr>
        <w:pStyle w:val="ListNumber"/>
        <w:numPr>
          <w:ilvl w:val="0"/>
          <w:numId w:val="28"/>
        </w:numPr>
        <w:keepLines/>
      </w:pPr>
      <w:hyperlink r:id="rId55">
        <w:r>
          <w:rPr>
            <w:rFonts w:ascii="Calibri" w:hAnsi="Calibri" w:eastAsia="Microsoft YaHei"/>
            <w:color w:val="1F4E79"/>
            <w:u w:val="single"/>
          </w:rPr>
          <w:t>NIST AI Risk Management Framework</w:t>
        </w:r>
      </w:hyperlink>
      <w:r>
        <w:rPr>
          <w:rFonts w:ascii="Calibri" w:hAnsi="Calibri" w:eastAsia="Microsoft YaHei"/>
          <w:b w:val="0"/>
          <w:color w:val="1F2937"/>
          <w:sz w:val="22"/>
        </w:rPr>
        <w:t>——AI 风险治理框架和 GenAI Profile。</w:t>
      </w:r>
    </w:p>
    <w:p>
      <w:pPr>
        <w:pStyle w:val="ListNumber"/>
        <w:numPr>
          <w:ilvl w:val="0"/>
          <w:numId w:val="28"/>
        </w:numPr>
        <w:keepLines/>
      </w:pPr>
      <w:hyperlink r:id="rId56">
        <w:r>
          <w:rPr>
            <w:rFonts w:ascii="Calibri" w:hAnsi="Calibri" w:eastAsia="Microsoft YaHei"/>
            <w:color w:val="1F4E79"/>
            <w:u w:val="single"/>
          </w:rPr>
          <w:t>LegalBench</w:t>
        </w:r>
      </w:hyperlink>
      <w:r>
        <w:rPr>
          <w:rFonts w:ascii="Calibri" w:hAnsi="Calibri" w:eastAsia="Microsoft YaHei"/>
          <w:b w:val="0"/>
          <w:color w:val="1F2937"/>
          <w:sz w:val="22"/>
        </w:rPr>
        <w:t>——法律推理任务评测框架参考。</w:t>
      </w:r>
    </w:p>
    <w:p>
      <w:pPr>
        <w:pStyle w:val="ListNumber"/>
        <w:numPr>
          <w:ilvl w:val="0"/>
          <w:numId w:val="28"/>
        </w:numPr>
        <w:keepLines/>
      </w:pPr>
      <w:hyperlink r:id="rId57">
        <w:r>
          <w:rPr>
            <w:rFonts w:ascii="Calibri" w:hAnsi="Calibri" w:eastAsia="Microsoft YaHei"/>
            <w:color w:val="1F4E79"/>
            <w:u w:val="single"/>
          </w:rPr>
          <w:t>CAIL2018</w:t>
        </w:r>
      </w:hyperlink>
      <w:r>
        <w:rPr>
          <w:rFonts w:ascii="Calibri" w:hAnsi="Calibri" w:eastAsia="Microsoft YaHei"/>
          <w:b w:val="0"/>
          <w:color w:val="1F2937"/>
          <w:sz w:val="22"/>
        </w:rPr>
        <w:t>——中文法律 AI 数据集与任务背景；不直接视为商业数据授权。</w:t>
      </w:r>
    </w:p>
    <w:p>
      <w:pPr>
        <w:pStyle w:val="ListNumber"/>
        <w:numPr>
          <w:ilvl w:val="0"/>
          <w:numId w:val="28"/>
        </w:numPr>
        <w:keepLines/>
      </w:pPr>
      <w:hyperlink r:id="rId58">
        <w:r>
          <w:rPr>
            <w:rFonts w:ascii="Calibri" w:hAnsi="Calibri" w:eastAsia="Microsoft YaHei"/>
            <w:color w:val="1F4E79"/>
            <w:u w:val="single"/>
          </w:rPr>
          <w:t>Chatlaw</w:t>
        </w:r>
      </w:hyperlink>
      <w:r>
        <w:rPr>
          <w:rFonts w:ascii="Calibri" w:hAnsi="Calibri" w:eastAsia="Microsoft YaHei"/>
          <w:b w:val="0"/>
          <w:color w:val="1F2937"/>
          <w:sz w:val="22"/>
        </w:rPr>
        <w:t>——多智能体/混合专家法律助手研究参考。</w:t>
      </w:r>
    </w:p>
    <w:p>
      <w:pPr>
        <w:pStyle w:val="Heading1"/>
        <w:keepNext/>
        <w:keepLines/>
      </w:pPr>
      <w:r>
        <w:rPr>
          <w:rFonts w:ascii="Calibri" w:hAnsi="Calibri" w:eastAsia="Microsoft YaHei"/>
          <w:b/>
          <w:color w:val="1F4E79"/>
          <w:sz w:val="32"/>
        </w:rPr>
        <w:t>附录 F：研究复跑输入</w:t>
      </w:r>
    </w:p>
    <w:p>
      <w:pPr>
        <w:pStyle w:val="Heading2"/>
        <w:keepNext/>
        <w:keepLines/>
      </w:pPr>
      <w:r>
        <w:rPr>
          <w:rFonts w:ascii="Calibri" w:hAnsi="Calibri" w:eastAsia="Microsoft YaHei"/>
          <w:b/>
          <w:color w:val="1F4E79"/>
          <w:sz w:val="26"/>
        </w:rPr>
        <w:t>F.1 关键检索主题</w:t>
      </w:r>
    </w:p>
    <w:p>
      <w:pPr>
        <w:pStyle w:val="ListBullet"/>
        <w:keepLines/>
      </w:pPr>
      <w:r>
        <w:rPr>
          <w:rFonts w:ascii="Calibri" w:hAnsi="Calibri" w:eastAsia="Microsoft YaHei"/>
          <w:b w:val="0"/>
          <w:color w:val="1F2937"/>
          <w:sz w:val="22"/>
        </w:rPr>
        <w:t>中国律师数量、律所规模分布、业务结构；</w:t>
      </w:r>
    </w:p>
    <w:p>
      <w:pPr>
        <w:pStyle w:val="ListBullet"/>
        <w:keepLines/>
      </w:pPr>
      <w:r>
        <w:rPr>
          <w:rFonts w:ascii="Calibri" w:hAnsi="Calibri" w:eastAsia="Microsoft YaHei"/>
          <w:b w:val="0"/>
          <w:color w:val="1F2937"/>
          <w:sz w:val="22"/>
        </w:rPr>
        <w:t>生成式人工智能服务的公众/专业机构适用范围；</w:t>
      </w:r>
    </w:p>
    <w:p>
      <w:pPr>
        <w:pStyle w:val="ListBullet"/>
        <w:keepLines/>
      </w:pPr>
      <w:r>
        <w:rPr>
          <w:rFonts w:ascii="Calibri" w:hAnsi="Calibri" w:eastAsia="Microsoft YaHei"/>
          <w:b w:val="0"/>
          <w:color w:val="1F2937"/>
          <w:sz w:val="22"/>
        </w:rPr>
        <w:t>人工智能生成合成内容标识、算法备案和安全评估；</w:t>
      </w:r>
    </w:p>
    <w:p>
      <w:pPr>
        <w:pStyle w:val="ListBullet"/>
        <w:keepLines/>
      </w:pPr>
      <w:r>
        <w:rPr>
          <w:rFonts w:ascii="Calibri" w:hAnsi="Calibri" w:eastAsia="Microsoft YaHei"/>
          <w:b w:val="0"/>
          <w:color w:val="1F2937"/>
          <w:sz w:val="22"/>
        </w:rPr>
        <w:t>律师 AI 工具使用、保密、审查和责任；</w:t>
      </w:r>
    </w:p>
    <w:p>
      <w:pPr>
        <w:pStyle w:val="ListBullet"/>
        <w:keepLines/>
      </w:pPr>
      <w:r>
        <w:rPr>
          <w:rFonts w:ascii="Calibri" w:hAnsi="Calibri" w:eastAsia="Microsoft YaHei"/>
          <w:b w:val="0"/>
          <w:color w:val="1F2937"/>
          <w:sz w:val="22"/>
        </w:rPr>
        <w:t>个人信息委托处理、敏感信息、影响评估与跨境；</w:t>
      </w:r>
    </w:p>
    <w:p>
      <w:pPr>
        <w:pStyle w:val="ListBullet"/>
        <w:keepLines/>
      </w:pPr>
      <w:r>
        <w:rPr>
          <w:rFonts w:ascii="Calibri" w:hAnsi="Calibri" w:eastAsia="Microsoft YaHei"/>
          <w:b w:val="0"/>
          <w:color w:val="1F2937"/>
          <w:sz w:val="22"/>
        </w:rPr>
        <w:t>网络数据分类分级、等保与生成式 AI 安全标准；</w:t>
      </w:r>
    </w:p>
    <w:p>
      <w:pPr>
        <w:pStyle w:val="ListBullet"/>
        <w:keepLines/>
      </w:pPr>
      <w:r>
        <w:rPr>
          <w:rFonts w:ascii="Calibri" w:hAnsi="Calibri" w:eastAsia="Microsoft YaHei"/>
          <w:b w:val="0"/>
          <w:color w:val="1F2937"/>
          <w:sz w:val="22"/>
        </w:rPr>
        <w:t>国内法律 AI：iCourt、北大法宝、威科先行、元典；</w:t>
      </w:r>
    </w:p>
    <w:p>
      <w:pPr>
        <w:pStyle w:val="ListBullet"/>
        <w:keepLines/>
      </w:pPr>
      <w:r>
        <w:rPr>
          <w:rFonts w:ascii="Calibri" w:hAnsi="Calibri" w:eastAsia="Microsoft YaHei"/>
          <w:b w:val="0"/>
          <w:color w:val="1F2937"/>
          <w:sz w:val="22"/>
        </w:rPr>
        <w:t>国际法律 AI：Harvey、Legora、CoCounsel、Lexis+、Clio、Relativity、Luminance；</w:t>
      </w:r>
    </w:p>
    <w:p>
      <w:pPr>
        <w:pStyle w:val="ListBullet"/>
        <w:keepLines/>
      </w:pPr>
      <w:r>
        <w:rPr>
          <w:rFonts w:ascii="Calibri" w:hAnsi="Calibri" w:eastAsia="Microsoft YaHei"/>
          <w:b w:val="0"/>
          <w:color w:val="1F2937"/>
          <w:sz w:val="22"/>
        </w:rPr>
        <w:t>法律 RAG 幻觉、律师 AI 伦理与评测框架。</w:t>
      </w:r>
    </w:p>
    <w:p>
      <w:pPr>
        <w:pStyle w:val="Heading2"/>
        <w:keepNext/>
        <w:keepLines/>
      </w:pPr>
      <w:r>
        <w:rPr>
          <w:rFonts w:ascii="Calibri" w:hAnsi="Calibri" w:eastAsia="Microsoft YaHei"/>
          <w:b/>
          <w:color w:val="1F4E79"/>
          <w:sz w:val="26"/>
        </w:rPr>
        <w:t>F.2 代码审计复跑命令</w:t>
      </w:r>
    </w:p>
    <w:p>
      <w:pPr>
        <w:spacing w:before="80" w:after="160" w:line="240" w:lineRule="auto"/>
        <w:ind w:left="259" w:right="259"/>
        <w:jc w:val="left"/>
        <w:shd w:fill="F7F8FA"/>
        <w:pBdr>
          <w:left w:val="single" w:sz="20" w:color="3B82A0"/>
        </w:pBdr>
      </w:pPr>
      <w:r>
        <w:rPr>
          <w:rFonts w:ascii="Consolas" w:hAnsi="Consolas" w:eastAsia="Consolas"/>
          <w:b/>
          <w:color w:val="3B82A0"/>
          <w:sz w:val="15"/>
        </w:rPr>
        <w:t>POWERSHELL</w:t>
        <w:br/>
      </w:r>
      <w:r>
        <w:rPr>
          <w:rFonts w:ascii="Consolas" w:hAnsi="Consolas" w:eastAsia="Consolas"/>
          <w:color w:val="1F2937"/>
          <w:sz w:val="16"/>
        </w:rPr>
        <w:t>rg -n "_HERMES_CORE_TOOLS|delegate_task|check_fn" toolsets.py tools/registry.py tools/delegate_tool.py</w:t>
        <w:br/>
        <w:t>rg -n "not a security boundary|YOLO|auto_approve|redact_pii" agent tools hermes_cli gateway</w:t>
        <w:br/>
        <w:t>rg -n "CREATE TABLE.*sessions|CREATE TABLE.*messages|reasoning|tool_calls" hermes_state.py hermes_state_common.py</w:t>
        <w:br/>
        <w:t>rg -n "contextIsolation|nodeIntegration|sandbox:" apps/desktop/electron/main.ts</w:t>
        <w:br/>
        <w:t>rg -n "register_tool|safe_mode|project_plugins|register\(ctx\)" hermes_cli/plugins.py</w:t>
        <w:br/>
        <w:t>git status --short</w:t>
      </w:r>
    </w:p>
    <w:p>
      <w:r>
        <w:rPr>
          <w:rFonts w:ascii="Calibri" w:hAnsi="Calibri" w:eastAsia="Microsoft YaHei"/>
          <w:b w:val="0"/>
          <w:color w:val="1F2937"/>
          <w:sz w:val="22"/>
        </w:rPr>
        <w:t>复跑时还应重新检查最新法规、标准、模型备案、数据供应商条款、竞品能力、Hermes 上游版本和依赖许可证。</w:t>
      </w:r>
    </w:p>
    <w:p>
      <w:pPr>
        <w:pStyle w:val="Heading1"/>
        <w:keepNext/>
        <w:keepLines/>
      </w:pPr>
      <w:r>
        <w:rPr>
          <w:rFonts w:ascii="Calibri" w:hAnsi="Calibri" w:eastAsia="Microsoft YaHei"/>
          <w:b/>
          <w:color w:val="1F4E79"/>
          <w:sz w:val="32"/>
        </w:rPr>
        <w:t>附录 G：术语表</w:t>
      </w:r>
    </w:p>
    <w:tbl>
      <w:tblPr>
        <w:tblW w:type="dxa" w:w="9360"/>
        <w:jc w:val="center"/>
        <w:tblLayout w:type="fixed"/>
        <w:tblLook w:firstColumn="1" w:firstRow="1" w:lastColumn="0" w:lastRow="0" w:noHBand="0" w:noVBand="1" w:val="04A0"/>
        <w:tblBorders>
          <w:top w:val="single" w:sz="6" w:color="C8D1DC"/>
          <w:left w:val="single" w:sz="6" w:color="C8D1DC"/>
          <w:bottom w:val="single" w:sz="6" w:color="C8D1DC"/>
          <w:right w:val="single" w:sz="6" w:color="C8D1DC"/>
          <w:insideH w:val="single" w:sz="6" w:color="C8D1DC"/>
          <w:insideV w:val="single" w:sz="6" w:color="C8D1DC"/>
        </w:tblBorders>
      </w:tblPr>
      <w:tblGrid>
        <w:gridCol w:w="4680"/>
        <w:gridCol w:w="4680"/>
      </w:tblGrid>
      <w:tr>
        <w:trPr>
          <w:cantSplit/>
          <w:tblHeader w:val="true"/>
        </w:trPr>
        <w:tc>
          <w:tcPr>
            <w:tcW w:type="dxa" w:w="3881"/>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术语</w:t>
            </w:r>
          </w:p>
        </w:tc>
        <w:tc>
          <w:tcPr>
            <w:tcW w:type="dxa" w:w="5479"/>
            <w:vAlign w:val="center"/>
            <w:tcMar>
              <w:top w:w="80" w:type="dxa"/>
              <w:start w:w="120" w:type="dxa"/>
              <w:bottom w:w="80" w:type="dxa"/>
              <w:end w:w="120" w:type="dxa"/>
            </w:tcMar>
            <w:shd w:fill="17365D"/>
          </w:tcPr>
          <w:p>
            <w:pPr>
              <w:spacing w:after="0" w:line="252" w:lineRule="auto"/>
              <w:jc w:val="left"/>
              <w:keepNext/>
            </w:pPr>
            <w:r>
              <w:rPr>
                <w:rFonts w:ascii="Calibri" w:hAnsi="Calibri" w:eastAsia="Microsoft YaHei"/>
                <w:b/>
                <w:color w:val="FFFFFF"/>
                <w:sz w:val="17"/>
              </w:rPr>
              <w:t>含义</w:t>
            </w:r>
          </w:p>
        </w:tc>
      </w:tr>
      <w:tr>
        <w:trPr>
          <w:cantSplit/>
        </w:trPr>
        <w:tc>
          <w:tcPr>
            <w:tcW w:type="dxa" w:w="388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案件/事项（Matter）</w:t>
            </w:r>
          </w:p>
        </w:tc>
        <w:tc>
          <w:tcPr>
            <w:tcW w:type="dxa" w:w="54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一个客户委托或内部法律事项及其独立权限、数据和工作流边界</w:t>
            </w:r>
          </w:p>
        </w:tc>
      </w:tr>
      <w:tr>
        <w:trPr>
          <w:cantSplit/>
        </w:trPr>
        <w:tc>
          <w:tcPr>
            <w:tcW w:type="dxa" w:w="388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案件工作包</w:t>
            </w:r>
          </w:p>
        </w:tc>
        <w:tc>
          <w:tcPr>
            <w:tcW w:type="dxa" w:w="54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经律师审核的事实、证据、争点、法源和工作成果集合</w:t>
            </w:r>
          </w:p>
        </w:tc>
      </w:tr>
      <w:tr>
        <w:trPr>
          <w:cantSplit/>
        </w:trPr>
        <w:tc>
          <w:tcPr>
            <w:tcW w:type="dxa" w:w="388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Claim</w:t>
            </w:r>
          </w:p>
        </w:tc>
        <w:tc>
          <w:tcPr>
            <w:tcW w:type="dxa" w:w="54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可验证的事实或法律命题，带支持/反对来源和审阅状态</w:t>
            </w:r>
          </w:p>
        </w:tc>
      </w:tr>
      <w:tr>
        <w:trPr>
          <w:cantSplit/>
        </w:trPr>
        <w:tc>
          <w:tcPr>
            <w:tcW w:type="dxa" w:w="388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来源锚点</w:t>
            </w:r>
          </w:p>
        </w:tc>
        <w:tc>
          <w:tcPr>
            <w:tcW w:type="dxa" w:w="54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原始文档 ID、页码、坐标、摘录哈希或法源稳定标识</w:t>
            </w:r>
          </w:p>
        </w:tc>
      </w:tr>
      <w:tr>
        <w:trPr>
          <w:cantSplit/>
        </w:trPr>
        <w:tc>
          <w:tcPr>
            <w:tcW w:type="dxa" w:w="388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伦理墙</w:t>
            </w:r>
          </w:p>
        </w:tc>
        <w:tc>
          <w:tcPr>
            <w:tcW w:type="dxa" w:w="54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阻止冲突团队、人员或智能体访问特定客户/案件的信息屏障</w:t>
            </w:r>
          </w:p>
        </w:tc>
      </w:tr>
      <w:tr>
        <w:trPr>
          <w:cantSplit/>
        </w:trPr>
        <w:tc>
          <w:tcPr>
            <w:tcW w:type="dxa" w:w="388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法律时点（Legal as-of）</w:t>
            </w:r>
          </w:p>
        </w:tc>
        <w:tc>
          <w:tcPr>
            <w:tcW w:type="dxa" w:w="54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判断法条、解释和案例效力的目标日期</w:t>
            </w:r>
          </w:p>
        </w:tc>
      </w:tr>
      <w:tr>
        <w:trPr>
          <w:cantSplit/>
        </w:trPr>
        <w:tc>
          <w:tcPr>
            <w:tcW w:type="dxa" w:w="388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PIPIA</w:t>
            </w:r>
          </w:p>
        </w:tc>
        <w:tc>
          <w:tcPr>
            <w:tcW w:type="dxa" w:w="54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个人信息保护影响评估</w:t>
            </w:r>
          </w:p>
        </w:tc>
      </w:tr>
      <w:tr>
        <w:trPr>
          <w:cantSplit/>
        </w:trPr>
        <w:tc>
          <w:tcPr>
            <w:tcW w:type="dxa" w:w="388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DLP</w:t>
            </w:r>
          </w:p>
        </w:tc>
        <w:tc>
          <w:tcPr>
            <w:tcW w:type="dxa" w:w="54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数据泄露防护与敏感数据识别/处置</w:t>
            </w:r>
          </w:p>
        </w:tc>
      </w:tr>
      <w:tr>
        <w:trPr>
          <w:cantSplit/>
        </w:trPr>
        <w:tc>
          <w:tcPr>
            <w:tcW w:type="dxa" w:w="388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WORM</w:t>
            </w:r>
          </w:p>
        </w:tc>
        <w:tc>
          <w:tcPr>
            <w:tcW w:type="dxa" w:w="54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写一次、读多次的不可变存储模式</w:t>
            </w:r>
          </w:p>
        </w:tc>
      </w:tr>
      <w:tr>
        <w:trPr>
          <w:cantSplit/>
        </w:trPr>
        <w:tc>
          <w:tcPr>
            <w:tcW w:type="dxa" w:w="388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RAG</w:t>
            </w:r>
          </w:p>
        </w:tc>
        <w:tc>
          <w:tcPr>
            <w:tcW w:type="dxa" w:w="54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检索增强生成；本规划要求同时做来源和命题支持验证</w:t>
            </w:r>
          </w:p>
        </w:tc>
      </w:tr>
      <w:tr>
        <w:trPr>
          <w:cantSplit/>
        </w:trPr>
        <w:tc>
          <w:tcPr>
            <w:tcW w:type="dxa" w:w="388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GRR/NRR</w:t>
            </w:r>
          </w:p>
        </w:tc>
        <w:tc>
          <w:tcPr>
            <w:tcW w:type="dxa" w:w="54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毛收入留存/净收入留存</w:t>
            </w:r>
          </w:p>
        </w:tc>
      </w:tr>
      <w:tr>
        <w:trPr>
          <w:cantSplit/>
        </w:trPr>
        <w:tc>
          <w:tcPr>
            <w:tcW w:type="dxa" w:w="3881"/>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ACV/ARR</w:t>
            </w:r>
          </w:p>
        </w:tc>
        <w:tc>
          <w:tcPr>
            <w:tcW w:type="dxa" w:w="5479"/>
            <w:vAlign w:val="center"/>
            <w:tcMar>
              <w:top w:w="80" w:type="dxa"/>
              <w:start w:w="120" w:type="dxa"/>
              <w:bottom w:w="80" w:type="dxa"/>
              <w:end w:w="120" w:type="dxa"/>
            </w:tcMar>
            <w:shd w:fill="F4F6F9"/>
          </w:tcPr>
          <w:p>
            <w:pPr>
              <w:spacing w:after="0" w:line="252" w:lineRule="auto"/>
              <w:jc w:val="left"/>
            </w:pPr>
            <w:r>
              <w:rPr>
                <w:rFonts w:ascii="Calibri" w:hAnsi="Calibri" w:eastAsia="Microsoft YaHei"/>
                <w:b w:val="0"/>
                <w:color w:val="1F2937"/>
                <w:sz w:val="17"/>
              </w:rPr>
              <w:t>年均合同额/年度经常性收入</w:t>
            </w:r>
          </w:p>
        </w:tc>
      </w:tr>
      <w:tr>
        <w:trPr>
          <w:cantSplit/>
        </w:trPr>
        <w:tc>
          <w:tcPr>
            <w:tcW w:type="dxa" w:w="3881"/>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Conditional Go</w:t>
            </w:r>
          </w:p>
        </w:tc>
        <w:tc>
          <w:tcPr>
            <w:tcW w:type="dxa" w:w="5479"/>
            <w:vAlign w:val="center"/>
            <w:tcMar>
              <w:top w:w="80" w:type="dxa"/>
              <w:start w:w="120" w:type="dxa"/>
              <w:bottom w:w="80" w:type="dxa"/>
              <w:end w:w="120" w:type="dxa"/>
            </w:tcMar>
          </w:tcPr>
          <w:p>
            <w:pPr>
              <w:spacing w:after="0" w:line="252" w:lineRule="auto"/>
              <w:jc w:val="left"/>
            </w:pPr>
            <w:r>
              <w:rPr>
                <w:rFonts w:ascii="Calibri" w:hAnsi="Calibri" w:eastAsia="Microsoft YaHei"/>
                <w:b w:val="0"/>
                <w:color w:val="1F2937"/>
                <w:sz w:val="17"/>
              </w:rPr>
              <w:t>满足阶段门槛后继续投入的有条件立项</w:t>
            </w:r>
          </w:p>
        </w:tc>
      </w:tr>
    </w:tbl>
    <w:p>
      <w:pPr>
        <w:spacing w:after="0"/>
      </w:pPr>
    </w:p>
    <w:p>
      <w:r>
        <w:rPr>
          <w:rFonts w:ascii="Calibri" w:hAnsi="Calibri" w:eastAsia="Microsoft YaHei"/>
          <w:b/>
          <w:color w:val="1F2937"/>
          <w:sz w:val="22"/>
        </w:rPr>
        <w:t>文档结束</w:t>
      </w:r>
    </w:p>
    <w:sectPr w:rsidR="00FC693F" w:rsidRPr="0006063C" w:rsidSect="00034616">
      <w:headerReference w:type="default" r:id="rId9"/>
      <w:footerReference w:type="default" r:id="rId10"/>
      <w:pgSz w:w="12240" w:h="15840"/>
      <w:pgMar w:top="1267" w:right="1440" w:bottom="1123"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0"/>
      <w:gridCol w:w="2160"/>
    </w:tblGrid>
    <w:tr>
      <w:tc>
        <w:tcPr>
          <w:tcW w:type="dxa" w:w="4680"/>
          <w:tcMar>
            <w:top w:w="0" w:type="dxa"/>
            <w:start w:w="0" w:type="dxa"/>
            <w:bottom w:w="0" w:type="dxa"/>
            <w:end w:w="0" w:type="dxa"/>
          </w:tcMar>
        </w:tcPr>
        <w:p>
          <w:pPr>
            <w:spacing w:after="0"/>
          </w:pPr>
          <w:r>
            <w:rPr>
              <w:rFonts w:ascii="Calibri" w:hAnsi="Calibri" w:eastAsia="Microsoft YaHei"/>
              <w:b w:val="0"/>
              <w:color w:val="667085"/>
              <w:sz w:val="16"/>
            </w:rPr>
            <w:t>内部规划材料｜AI 辅助法律工作平台</w:t>
          </w:r>
        </w:p>
      </w:tc>
      <w:tc>
        <w:tcPr>
          <w:tcW w:type="dxa" w:w="4680"/>
          <w:tcMar>
            <w:top w:w="0" w:type="dxa"/>
            <w:start w:w="0" w:type="dxa"/>
            <w:bottom w:w="0" w:type="dxa"/>
            <w:end w:w="0" w:type="dxa"/>
          </w:tcMar>
        </w:tcPr>
        <w:p>
          <w:pPr>
            <w:spacing w:after="0"/>
            <w:jc w:val="right"/>
          </w:pPr>
          <w:r>
            <w:rPr>
              <w:rFonts w:ascii="Calibri" w:hAnsi="Calibri" w:eastAsia="Microsoft YaHei"/>
              <w:color w:val="667085"/>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056"/>
      <w:gridCol w:w="2304"/>
    </w:tblGrid>
    <w:tr>
      <w:tc>
        <w:tcPr>
          <w:tcW w:type="dxa" w:w="4680"/>
          <w:tcMar>
            <w:top w:w="0" w:type="dxa"/>
            <w:start w:w="0" w:type="dxa"/>
            <w:bottom w:w="0" w:type="dxa"/>
            <w:end w:w="0" w:type="dxa"/>
          </w:tcMar>
        </w:tcPr>
        <w:p>
          <w:pPr>
            <w:spacing w:after="0"/>
          </w:pPr>
          <w:r>
            <w:rPr>
              <w:rFonts w:ascii="Calibri" w:hAnsi="Calibri" w:eastAsia="Microsoft YaHei"/>
              <w:b/>
              <w:color w:val="667085"/>
              <w:sz w:val="17"/>
            </w:rPr>
            <w:t>Hermes 法律 AI 商业化规划</w:t>
          </w:r>
        </w:p>
      </w:tc>
      <w:tc>
        <w:tcPr>
          <w:tcW w:type="dxa" w:w="4680"/>
          <w:tcMar>
            <w:top w:w="0" w:type="dxa"/>
            <w:start w:w="0" w:type="dxa"/>
            <w:bottom w:w="0" w:type="dxa"/>
            <w:end w:w="0" w:type="dxa"/>
          </w:tcMar>
        </w:tcPr>
        <w:p>
          <w:pPr>
            <w:spacing w:after="0"/>
            <w:jc w:val="right"/>
          </w:pPr>
          <w:r>
            <w:rPr>
              <w:rFonts w:ascii="Calibri" w:hAnsi="Calibri" w:eastAsia="Microsoft YaHei"/>
              <w:b w:val="0"/>
              <w:color w:val="667085"/>
              <w:sz w:val="17"/>
            </w:rPr>
            <w:t>V1.0 · 2026-08-04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space"/>
      <w:pPr>
        <w:tabs>
          <w:tab w:val="num" w:pos="540"/>
        </w:tabs>
        <w:ind w:left="540" w:hanging="280"/>
      </w:pPr>
    </w:lvl>
  </w:abstractNum>
  <w:abstractNum w:abstractNumId="10">
    <w:multiLevelType w:val="singleLevel"/>
    <w:lvl w:ilvl="0">
      <w:start w:val="1"/>
      <w:numFmt w:val="decimal"/>
      <w:lvlText w:val="%1."/>
      <w:suff w:val="space"/>
      <w:pPr>
        <w:tabs>
          <w:tab w:val="num" w:pos="540"/>
        </w:tabs>
        <w:ind w:left="540" w:hanging="280"/>
      </w:pPr>
    </w:lvl>
  </w:abstractNum>
  <w:abstractNum w:abstractNumId="11">
    <w:multiLevelType w:val="singleLevel"/>
    <w:lvl w:ilvl="0">
      <w:start w:val="1"/>
      <w:numFmt w:val="decimal"/>
      <w:lvlText w:val="%1."/>
      <w:suff w:val="space"/>
      <w:pPr>
        <w:tabs>
          <w:tab w:val="num" w:pos="540"/>
        </w:tabs>
        <w:ind w:left="540" w:hanging="280"/>
      </w:pPr>
    </w:lvl>
  </w:abstractNum>
  <w:abstractNum w:abstractNumId="12">
    <w:multiLevelType w:val="singleLevel"/>
    <w:lvl w:ilvl="0">
      <w:start w:val="1"/>
      <w:numFmt w:val="decimal"/>
      <w:lvlText w:val="%1."/>
      <w:suff w:val="space"/>
      <w:pPr>
        <w:tabs>
          <w:tab w:val="num" w:pos="540"/>
        </w:tabs>
        <w:ind w:left="540" w:hanging="280"/>
      </w:pPr>
    </w:lvl>
  </w:abstractNum>
  <w:abstractNum w:abstractNumId="13">
    <w:multiLevelType w:val="singleLevel"/>
    <w:lvl w:ilvl="0">
      <w:start w:val="1"/>
      <w:numFmt w:val="decimal"/>
      <w:lvlText w:val="%1."/>
      <w:suff w:val="space"/>
      <w:pPr>
        <w:tabs>
          <w:tab w:val="num" w:pos="540"/>
        </w:tabs>
        <w:ind w:left="540" w:hanging="280"/>
      </w:pPr>
    </w:lvl>
  </w:abstractNum>
  <w:abstractNum w:abstractNumId="14">
    <w:multiLevelType w:val="singleLevel"/>
    <w:lvl w:ilvl="0">
      <w:start w:val="1"/>
      <w:numFmt w:val="decimal"/>
      <w:lvlText w:val="%1."/>
      <w:suff w:val="space"/>
      <w:pPr>
        <w:tabs>
          <w:tab w:val="num" w:pos="540"/>
        </w:tabs>
        <w:ind w:left="540" w:hanging="280"/>
      </w:pPr>
    </w:lvl>
  </w:abstractNum>
  <w:abstractNum w:abstractNumId="15">
    <w:multiLevelType w:val="singleLevel"/>
    <w:lvl w:ilvl="0">
      <w:start w:val="1"/>
      <w:numFmt w:val="decimal"/>
      <w:lvlText w:val="%1."/>
      <w:suff w:val="space"/>
      <w:pPr>
        <w:tabs>
          <w:tab w:val="num" w:pos="540"/>
        </w:tabs>
        <w:ind w:left="540" w:hanging="280"/>
      </w:pPr>
    </w:lvl>
  </w:abstractNum>
  <w:abstractNum w:abstractNumId="16">
    <w:multiLevelType w:val="singleLevel"/>
    <w:lvl w:ilvl="0">
      <w:start w:val="1"/>
      <w:numFmt w:val="decimal"/>
      <w:lvlText w:val="%1."/>
      <w:suff w:val="space"/>
      <w:pPr>
        <w:tabs>
          <w:tab w:val="num" w:pos="540"/>
        </w:tabs>
        <w:ind w:left="540" w:hanging="280"/>
      </w:pPr>
    </w:lvl>
  </w:abstractNum>
  <w:abstractNum w:abstractNumId="17">
    <w:multiLevelType w:val="singleLevel"/>
    <w:lvl w:ilvl="0">
      <w:start w:val="1"/>
      <w:numFmt w:val="decimal"/>
      <w:lvlText w:val="%1."/>
      <w:suff w:val="space"/>
      <w:pPr>
        <w:tabs>
          <w:tab w:val="num" w:pos="540"/>
        </w:tabs>
        <w:ind w:left="540" w:hanging="280"/>
      </w:pPr>
    </w:lvl>
  </w:abstractNum>
  <w:abstractNum w:abstractNumId="18">
    <w:multiLevelType w:val="singleLevel"/>
    <w:lvl w:ilvl="0">
      <w:start w:val="1"/>
      <w:numFmt w:val="decimal"/>
      <w:lvlText w:val="%1."/>
      <w:suff w:val="space"/>
      <w:pPr>
        <w:tabs>
          <w:tab w:val="num" w:pos="540"/>
        </w:tabs>
        <w:ind w:left="540" w:hanging="280"/>
      </w:pPr>
    </w:lvl>
  </w:abstractNum>
  <w:abstractNum w:abstractNumId="19">
    <w:multiLevelType w:val="singleLevel"/>
    <w:lvl w:ilvl="0">
      <w:start w:val="1"/>
      <w:numFmt w:val="decimal"/>
      <w:lvlText w:val="%1."/>
      <w:suff w:val="space"/>
      <w:pPr>
        <w:tabs>
          <w:tab w:val="num" w:pos="540"/>
        </w:tabs>
        <w:ind w:left="540" w:hanging="280"/>
      </w:pPr>
    </w:lvl>
  </w:abstractNum>
  <w:abstractNum w:abstractNumId="20">
    <w:multiLevelType w:val="singleLevel"/>
    <w:lvl w:ilvl="0">
      <w:start w:val="1"/>
      <w:numFmt w:val="decimal"/>
      <w:lvlText w:val="%1."/>
      <w:suff w:val="space"/>
      <w:pPr>
        <w:tabs>
          <w:tab w:val="num" w:pos="540"/>
        </w:tabs>
        <w:ind w:left="540" w:hanging="280"/>
      </w:pPr>
    </w:lvl>
  </w:abstractNum>
  <w:abstractNum w:abstractNumId="21">
    <w:multiLevelType w:val="singleLevel"/>
    <w:lvl w:ilvl="0">
      <w:start w:val="1"/>
      <w:numFmt w:val="decimal"/>
      <w:lvlText w:val="%1."/>
      <w:suff w:val="space"/>
      <w:pPr>
        <w:tabs>
          <w:tab w:val="num" w:pos="540"/>
        </w:tabs>
        <w:ind w:left="540" w:hanging="280"/>
      </w:pPr>
    </w:lvl>
  </w:abstractNum>
  <w:abstractNum w:abstractNumId="22">
    <w:multiLevelType w:val="singleLevel"/>
    <w:lvl w:ilvl="0">
      <w:start w:val="1"/>
      <w:numFmt w:val="decimal"/>
      <w:lvlText w:val="%1."/>
      <w:suff w:val="space"/>
      <w:pPr>
        <w:tabs>
          <w:tab w:val="num" w:pos="540"/>
        </w:tabs>
        <w:ind w:left="540" w:hanging="280"/>
      </w:pPr>
    </w:lvl>
  </w:abstractNum>
  <w:abstractNum w:abstractNumId="23">
    <w:multiLevelType w:val="singleLevel"/>
    <w:lvl w:ilvl="0">
      <w:start w:val="1"/>
      <w:numFmt w:val="decimal"/>
      <w:lvlText w:val="%1."/>
      <w:suff w:val="space"/>
      <w:pPr>
        <w:tabs>
          <w:tab w:val="num" w:pos="540"/>
        </w:tabs>
        <w:ind w:left="540" w:hanging="280"/>
      </w:pPr>
    </w:lvl>
  </w:abstractNum>
  <w:abstractNum w:abstractNumId="24">
    <w:multiLevelType w:val="singleLevel"/>
    <w:lvl w:ilvl="0">
      <w:start w:val="1"/>
      <w:numFmt w:val="decimal"/>
      <w:lvlText w:val="%1."/>
      <w:suff w:val="space"/>
      <w:pPr>
        <w:tabs>
          <w:tab w:val="num" w:pos="540"/>
        </w:tabs>
        <w:ind w:left="540" w:hanging="280"/>
      </w:pPr>
    </w:lvl>
  </w:abstractNum>
  <w:abstractNum w:abstractNumId="25">
    <w:multiLevelType w:val="singleLevel"/>
    <w:lvl w:ilvl="0">
      <w:start w:val="1"/>
      <w:numFmt w:val="decimal"/>
      <w:lvlText w:val="%1."/>
      <w:suff w:val="space"/>
      <w:pPr>
        <w:tabs>
          <w:tab w:val="num" w:pos="540"/>
        </w:tabs>
        <w:ind w:left="540" w:hanging="280"/>
      </w:pPr>
    </w:lvl>
  </w:abstractNum>
  <w:abstractNum w:abstractNumId="26">
    <w:multiLevelType w:val="singleLevel"/>
    <w:lvl w:ilvl="0">
      <w:start w:val="1"/>
      <w:numFmt w:val="decimal"/>
      <w:lvlText w:val="%1."/>
      <w:suff w:val="space"/>
      <w:pPr>
        <w:tabs>
          <w:tab w:val="num" w:pos="540"/>
        </w:tabs>
        <w:ind w:left="540" w:hanging="280"/>
      </w:pPr>
    </w:lvl>
  </w:abstractNum>
  <w:abstractNum w:abstractNumId="27">
    <w:multiLevelType w:val="singleLevel"/>
    <w:lvl w:ilvl="0">
      <w:start w:val="1"/>
      <w:numFmt w:val="decimal"/>
      <w:lvlText w:val="%1."/>
      <w:suff w:val="space"/>
      <w:pPr>
        <w:tabs>
          <w:tab w:val="num" w:pos="540"/>
        </w:tabs>
        <w:ind w:left="540" w:hanging="2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320" w:lineRule="auto"/>
      <w:jc w:val="both"/>
    </w:pPr>
    <w:rPr>
      <w:rFonts w:ascii="Calibri" w:hAnsi="Calibr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eastAsia="Microsoft YaHei"/>
      <w:b/>
      <w:bCs/>
      <w:i/>
      <w:iCs/>
      <w:color w:val="17365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pPr>
    <w:rPr>
      <w:rFonts w:asciiTheme="majorHAnsi" w:eastAsiaTheme="majorEastAsia" w:hAnsiTheme="majorHAnsi" w:cstheme="majorBidi" w:ascii="Calibri" w:hAnsi="Calibri" w:eastAsia="Microsoft YaHei"/>
      <w:b/>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eastAsia="Microsoft YaHei"/>
      <w:b/>
      <w:bCs/>
      <w:i/>
      <w:iCs/>
      <w:color w:val="17365D"/>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xzfy.moj.gov.cn/c/2021-01-06/487877.shtml" TargetMode="External"/><Relationship Id="rId12" Type="http://schemas.openxmlformats.org/officeDocument/2006/relationships/hyperlink" Target="https://www.moj.gov.cn/pub/sfbgw/zwxxgk/fdzdgknr/fdzdgknrtjxx/202306/t20230614_480740.html" TargetMode="External"/><Relationship Id="rId13" Type="http://schemas.openxmlformats.org/officeDocument/2006/relationships/hyperlink" Target="https://www.icourt.cc/" TargetMode="External"/><Relationship Id="rId14" Type="http://schemas.openxmlformats.org/officeDocument/2006/relationships/hyperlink" Target="https://mcp.pkulaw.com/" TargetMode="External"/><Relationship Id="rId15" Type="http://schemas.openxmlformats.org/officeDocument/2006/relationships/hyperlink" Target="https://www.wolterskluwer.cn/solutions/Info/10029" TargetMode="External"/><Relationship Id="rId16" Type="http://schemas.openxmlformats.org/officeDocument/2006/relationships/hyperlink" Target="https://open.chineselaw.com/" TargetMode="External"/><Relationship Id="rId17" Type="http://schemas.openxmlformats.org/officeDocument/2006/relationships/hyperlink" Target="https://www.harvey.ai/" TargetMode="External"/><Relationship Id="rId18" Type="http://schemas.openxmlformats.org/officeDocument/2006/relationships/hyperlink" Target="https://www.legorai.com/product" TargetMode="External"/><Relationship Id="rId19" Type="http://schemas.openxmlformats.org/officeDocument/2006/relationships/hyperlink" Target="https://legal.thomsonreuters.com/en/products/cocounsel-legal" TargetMode="External"/><Relationship Id="rId20" Type="http://schemas.openxmlformats.org/officeDocument/2006/relationships/hyperlink" Target="https://www.lexisnexis.com/en-us/products/lexis-plus-ai.page" TargetMode="External"/><Relationship Id="rId21" Type="http://schemas.openxmlformats.org/officeDocument/2006/relationships/hyperlink" Target="https://www.clio.com/features/legal-ai-software/" TargetMode="External"/><Relationship Id="rId22" Type="http://schemas.openxmlformats.org/officeDocument/2006/relationships/hyperlink" Target="https://relativity.com/data-solutions/ediscovery/" TargetMode="External"/><Relationship Id="rId23" Type="http://schemas.openxmlformats.org/officeDocument/2006/relationships/hyperlink" Target="https://www.luminance.com/luminance-v-point-solutions/" TargetMode="External"/><Relationship Id="rId24" Type="http://schemas.openxmlformats.org/officeDocument/2006/relationships/hyperlink" Target="https://www.thomsonreuters.com/en/reports/2025-generative-ai-in-professional-services-report" TargetMode="External"/><Relationship Id="rId25" Type="http://schemas.openxmlformats.org/officeDocument/2006/relationships/hyperlink" Target="https://www.thomsonreuters.com/en-us/posts/legal/future-of-professionals-action-plan-law-firms-2025/" TargetMode="External"/><Relationship Id="rId26" Type="http://schemas.openxmlformats.org/officeDocument/2006/relationships/hyperlink" Target="https://law.stanford.edu/wp-content/uploads/2024/05/Legal_RAG_Hallucinations.pdf" TargetMode="External"/><Relationship Id="rId27" Type="http://schemas.openxmlformats.org/officeDocument/2006/relationships/image" Target="media/image1.png"/><Relationship Id="rId28" Type="http://schemas.openxmlformats.org/officeDocument/2006/relationships/hyperlink" Target="https://flk.npc.gov.cn/" TargetMode="External"/><Relationship Id="rId29" Type="http://schemas.openxmlformats.org/officeDocument/2006/relationships/hyperlink" Target="https://www.court.gov.cn/zixun/xiangqing/431662.html" TargetMode="External"/><Relationship Id="rId30" Type="http://schemas.openxmlformats.org/officeDocument/2006/relationships/hyperlink" Target="https://www.cac.gov.cn/2024-03/22/c_1712776612187994.htm" TargetMode="External"/><Relationship Id="rId31" Type="http://schemas.openxmlformats.org/officeDocument/2006/relationships/hyperlink" Target="https://sdca.miit.gov.cn/zwgk/fgbz/art/2026/art_3e2ad39014b743d58bab7a6815640aee.html" TargetMode="External"/><Relationship Id="rId32" Type="http://schemas.openxmlformats.org/officeDocument/2006/relationships/image" Target="media/image2.png"/><Relationship Id="rId33" Type="http://schemas.openxmlformats.org/officeDocument/2006/relationships/hyperlink" Target="https://www.cac.gov.cn/2023-07/13/c_1690898327029107.htm" TargetMode="External"/><Relationship Id="rId34" Type="http://schemas.openxmlformats.org/officeDocument/2006/relationships/hyperlink" Target="https://www.cac.gov.cn/2026-04/10/c_1777558395078289.htm" TargetMode="External"/><Relationship Id="rId35" Type="http://schemas.openxmlformats.org/officeDocument/2006/relationships/hyperlink" Target="https://info.lawyers.org.cn/info/71624f5df3184a90941f317aca231c18" TargetMode="External"/><Relationship Id="rId36" Type="http://schemas.openxmlformats.org/officeDocument/2006/relationships/hyperlink" Target="https://app.www.gov.cn/govdata/gov/202409/30/520076/article.html" TargetMode="External"/><Relationship Id="rId37" Type="http://schemas.openxmlformats.org/officeDocument/2006/relationships/hyperlink" Target="https://www.npc.gov.cn/npc/c2/c30834/202402/t20240227_434859.html" TargetMode="External"/><Relationship Id="rId38" Type="http://schemas.openxmlformats.org/officeDocument/2006/relationships/hyperlink" Target="https://www.cac.gov.cn/2025-03/14/c_1743654684782215.htm" TargetMode="External"/><Relationship Id="rId39" Type="http://schemas.openxmlformats.org/officeDocument/2006/relationships/hyperlink" Target="https://sdca.miit.gov.cn/zwgk/fgbz/art/2026/art_fea940f81f1d423e87101adf147ab979.html" TargetMode="External"/><Relationship Id="rId40" Type="http://schemas.openxmlformats.org/officeDocument/2006/relationships/hyperlink" Target="https://openstd.samr.gov.cn/bzgk/std/newGbInfo?hcno=BAFB47E8874764186BDB7865E8344DAF" TargetMode="External"/><Relationship Id="rId41" Type="http://schemas.openxmlformats.org/officeDocument/2006/relationships/hyperlink" Target="https://openstd.samr.gov.cn/bzgk/std/newGbInfo?hcno=F0C385EDC38CBF277AEC021F23126ADE" TargetMode="External"/><Relationship Id="rId42" Type="http://schemas.openxmlformats.org/officeDocument/2006/relationships/hyperlink" Target="https://openstd.samr.gov.cn/bzgk/std/newGbInfo?hcno=4568F276E0F8346EB0FBA097AA0CE05E" TargetMode="External"/><Relationship Id="rId43" Type="http://schemas.openxmlformats.org/officeDocument/2006/relationships/hyperlink" Target="https://www.tc260.org.cn/portal/article/1/20250630122232" TargetMode="External"/><Relationship Id="rId44" Type="http://schemas.openxmlformats.org/officeDocument/2006/relationships/hyperlink" Target="https://www.court.gov.cn/zixun/xiangqing/382461.html" TargetMode="External"/><Relationship Id="rId45" Type="http://schemas.openxmlformats.org/officeDocument/2006/relationships/image" Target="media/image3.png"/><Relationship Id="rId46" Type="http://schemas.openxmlformats.org/officeDocument/2006/relationships/hyperlink" Target="https://www.cac.gov.cn/2022-12/11/c_1672221949354811.htm" TargetMode="External"/><Relationship Id="rId47" Type="http://schemas.openxmlformats.org/officeDocument/2006/relationships/hyperlink" Target="https://www.cac.gov.cn/2022-01/04/c_1642894606364259.htm" TargetMode="External"/><Relationship Id="rId48" Type="http://schemas.openxmlformats.org/officeDocument/2006/relationships/hyperlink" Target="https://www.cac.gov.cn/2024-04/02/c_1713729983803145.htm" TargetMode="External"/><Relationship Id="rId49" Type="http://schemas.openxmlformats.org/officeDocument/2006/relationships/hyperlink" Target="https://beian.cac.gov.cn/" TargetMode="External"/><Relationship Id="rId50" Type="http://schemas.openxmlformats.org/officeDocument/2006/relationships/hyperlink" Target="https://www.npc.gov.cn/npc/c2/c30834/202106/t20210610_311888.html" TargetMode="External"/><Relationship Id="rId51" Type="http://schemas.openxmlformats.org/officeDocument/2006/relationships/hyperlink" Target="https://www.court.gov.cn/zixun/xiangqing/426222.html" TargetMode="External"/><Relationship Id="rId52" Type="http://schemas.openxmlformats.org/officeDocument/2006/relationships/hyperlink" Target="https://www.chinalaw.gov.cn/pub/sfbgw/zwgkztzl/xxxcgcxjpfzsx/fzsxllqy/202505/t20250515_519401.html" TargetMode="External"/><Relationship Id="rId53" Type="http://schemas.openxmlformats.org/officeDocument/2006/relationships/hyperlink" Target="https://www.cac.gov.cn/rootimages/uploadimg/1727568303900999/1727568303900999.pdf" TargetMode="External"/><Relationship Id="rId54" Type="http://schemas.openxmlformats.org/officeDocument/2006/relationships/hyperlink" Target="https://www.americanbar.org/content/dam/aba/administrative/professional_responsibility/ethics-opinions/aba-formal-opinion-512.pdf" TargetMode="External"/><Relationship Id="rId55" Type="http://schemas.openxmlformats.org/officeDocument/2006/relationships/hyperlink" Target="https://www.nist.gov/itl/ai-risk-management-framework" TargetMode="External"/><Relationship Id="rId56" Type="http://schemas.openxmlformats.org/officeDocument/2006/relationships/hyperlink" Target="https://arxiv.org/abs/2308.11462" TargetMode="External"/><Relationship Id="rId57" Type="http://schemas.openxmlformats.org/officeDocument/2006/relationships/hyperlink" Target="https://arxiv.org/abs/1807.02478" TargetMode="External"/><Relationship Id="rId58" Type="http://schemas.openxmlformats.org/officeDocument/2006/relationships/hyperlink" Target="https://arxiv.org/abs/2306.16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法律 AI 商业化规划</dc:title>
  <dc:subject>AI 辅助案件梳理与受控多智能体法律协作平台</dc:subject>
  <dc:creator>Codex</dc:creator>
  <cp:keywords>Hermes, 法律AI, 案件梳理, 多智能体, 商业化, 合规, 产品规划</cp:keywords>
  <dc:description>V1.0，基准日期 2026-08-04</dc:description>
  <cp:lastModifiedBy/>
  <cp:revision>1</cp:revision>
  <dcterms:created xsi:type="dcterms:W3CDTF">2013-12-23T23:15:00Z</dcterms:created>
  <dcterms:modified xsi:type="dcterms:W3CDTF">2013-12-23T23:15:00Z</dcterms:modified>
  <cp:category/>
</cp:coreProperties>
</file>