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3 Architecture Justification</w:t>
      </w:r>
    </w:p>
    <w:p>
      <w:pPr>
        <w:pStyle w:val="Subtitle"/>
        <w:jc w:val="center"/>
      </w:pPr>
      <w:r>
        <w:t>Airport Lost Luggage Claim &amp; Tracking Portal</w:t>
      </w:r>
    </w:p>
    <w:p>
      <w:pPr>
        <w:jc w:val="center"/>
      </w:pPr>
      <w:r>
        <w:t>Atharv More  |  PES1UG24CS276</w:t>
      </w:r>
    </w:p>
    <w:p>
      <w:pPr>
        <w:pStyle w:val="Heading1"/>
      </w:pPr>
      <w:r>
        <w:t>Architecture selection</w:t>
      </w:r>
    </w:p>
    <w:p>
      <w:r>
        <w:t>We chose Layered Architecture for the Airport Lost Luggage Claim &amp; Tracking Portal. Passenger Portal and Agent Console form the presentation layer; Claim Service and Scan Matching Engine form the application layer; Claim &amp; Scan Store, Terminal Scan Adapter, and Notification Service are data and integration components.</w:t>
      </w:r>
    </w:p>
    <w:p>
      <w:pPr>
        <w:pStyle w:val="Heading1"/>
      </w:pPr>
      <w:r>
        <w:t>Two scenario-specific reasons</w:t>
      </w:r>
    </w:p>
    <w:p>
      <w:r>
        <w:t>1. Passengers file and track claims, while baggage agents investigate and change status. A shared Claim Service applies one claim workflow and consistent rules to both interfaces.</w:t>
      </w:r>
    </w:p>
    <w:p>
      <w:r>
        <w:t>2. The system must reconcile bag-tag scans from connected terminals. Keeping scan ingestion and matching behind interfaces lets terminal feeds change without rewriting claim filing or agent screens.</w:t>
      </w:r>
    </w:p>
    <w:p>
      <w:pPr>
        <w:pStyle w:val="Heading1"/>
      </w:pPr>
      <w:r>
        <w:t>Architectural styles considered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</w:tcPr>
          <w:p>
            <w:r>
              <w:rPr>
                <w:sz w:val="18"/>
              </w:rPr>
              <w:t>Style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Assessment for this portal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Layered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Selected: clear UI, claim workflow, and scan/data boundaries.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Microservices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Independent deployment could help at airline scale, but adds network latency and operational complexity to claim matching.</w:t>
            </w:r>
          </w:p>
        </w:tc>
      </w:tr>
      <w:tr>
        <w:tc>
          <w:tcPr>
            <w:tcW w:type="dxa" w:w="4802"/>
          </w:tcPr>
          <w:p>
            <w:r>
              <w:rPr>
                <w:sz w:val="18"/>
              </w:rPr>
              <w:t>Client-server</w:t>
            </w:r>
          </w:p>
        </w:tc>
        <w:tc>
          <w:tcPr>
            <w:tcW w:type="dxa" w:w="4802"/>
          </w:tcPr>
          <w:p>
            <w:r>
              <w:rPr>
                <w:sz w:val="18"/>
              </w:rPr>
              <w:t>Centralized access fits the portal, but by itself gives too little guidance for separating matching, claims, and integrations.</w:t>
            </w:r>
          </w:p>
        </w:tc>
      </w:tr>
    </w:tbl>
    <w:p>
      <w:pPr>
        <w:pStyle w:val="Heading1"/>
      </w:pPr>
      <w:r>
        <w:t>Security advantage</w:t>
      </w:r>
    </w:p>
    <w:p>
      <w:r>
        <w:t>Claim Service checks passenger versus agent permissions before exposing a claim or accepting a status change. Terminal feeds and the data store are not directly reachable from the user interfaces; status changes retain agent ID and timestamp for audit.</w:t>
      </w:r>
    </w:p>
    <w:p>
      <w:pPr>
        <w:pStyle w:val="Heading1"/>
      </w:pPr>
      <w:r>
        <w:t>Performance benefit</w:t>
      </w:r>
    </w:p>
    <w:p>
      <w:r>
        <w:t>The application layer can query indexed bag-tag and flight records and assemble a multi-leg scan timeline without repeated cross-service calls. This supports the Lab 1 target of a complete timeline response under 200 ms, which still requires load testing.</w:t>
      </w:r>
    </w:p>
    <w:p>
      <w:r>
        <w:t>The diagram labels six provided/required interfaces and shows the claim, scan, status, and notification flows.</w:t>
      </w:r>
    </w:p>
    <w:sectPr w:rsidR="00FC693F" w:rsidRPr="0006063C" w:rsidSect="00034616">
      <w:pgSz w:w="11909" w:h="16834"/>
      <w:pgMar w:top="979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More</dc:creator>
  <cp:keywords/>
  <dc:description/>
  <cp:lastModifiedBy>Atharv More</cp:lastModifiedBy>
  <cp:revision>3</cp:revision>
  <dcterms:created xsi:type="dcterms:W3CDTF">2026-10-02T13:52:00Z</dcterms:created>
  <dcterms:modified xsi:type="dcterms:W3CDTF">2026-10-02T14:08:00Z</dcterms:modified>
  <cp:category/>
</cp:coreProperties>
</file>