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Software Engineering Mini Project · Team E15</w:t>
      </w:r>
    </w:p>
    <w:p>
      <w:pPr>
        <w:pStyle w:val="Heading1"/>
        <w:keepNext w:val="true"/>
        <w:pBdr>
          <w:bottom w:val="single" w:sz="12" w:space="4" w:color="1F6F8B"/>
        </w:pBdr>
        <w:bidi w:val="0"/>
        <w:spacing w:before="440" w:after="200"/>
        <w:ind w:start="440" w:end="440"/>
        <w:rPr/>
      </w:pPr>
      <w:r>
        <w:rPr/>
        <w:t>Test Plan</w:t>
      </w:r>
    </w:p>
    <w:p>
      <w:pPr>
        <w:pStyle w:val="BodyText"/>
        <w:bidi w:val="0"/>
        <w:spacing w:before="0" w:after="0"/>
        <w:rPr/>
      </w:pPr>
      <w:r>
        <w:rPr/>
        <w:t>Railway Reservation System</w:t>
      </w:r>
    </w:p>
    <w:p>
      <w:pPr>
        <w:pStyle w:val="BodyText"/>
        <w:bidi w:val="0"/>
        <w:spacing w:before="0" w:after="0"/>
        <w:rPr/>
      </w:pPr>
      <w:r>
        <w:rPr/>
        <w:t>Prepared by Atharv More</w:t>
      </w:r>
    </w:p>
    <w:p>
      <w:pPr>
        <w:pStyle w:val="BodyText"/>
        <w:bidi w:val="0"/>
        <w:spacing w:before="0" w:after="0"/>
        <w:rPr/>
      </w:pPr>
      <w:r>
        <w:rPr/>
        <w:t>PES1UG24CS276</w:t>
        <w:br/>
        <w:t>Test-case contribution: Muhammad Affan Dumba · PES1UG24CS280</w:t>
        <w:br/>
        <w:t>Version 1.1 · 29 September 2026</w:t>
        <w:br/>
        <w:t>ISO/IEC/IEEE 29119-3-aligned structure</w:t>
      </w:r>
    </w:p>
    <w:p>
      <w:pPr>
        <w:pStyle w:val="BodyText"/>
        <w:bidi w:val="0"/>
        <w:spacing w:before="0" w:after="140"/>
        <w:rPr/>
      </w:pPr>
      <w:r>
        <w:rPr/>
        <w:t>Submission Copy</w:t>
      </w:r>
    </w:p>
    <w:p>
      <w:pPr>
        <w:pStyle w:val="Heading1"/>
        <w:keepNext w:val="true"/>
        <w:pBdr>
          <w:bottom w:val="single" w:sz="12" w:space="4" w:color="1F6F8B"/>
        </w:pBdr>
        <w:bidi w:val="0"/>
        <w:spacing w:before="440" w:after="200"/>
        <w:ind w:start="440" w:end="440"/>
        <w:rPr/>
      </w:pPr>
      <w:r>
        <w:rPr/>
        <w:t>Document Control</w:t>
      </w:r>
    </w:p>
    <w:tbl>
      <w:tblPr>
        <w:tblW w:w="63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65"/>
        <w:gridCol w:w="4595"/>
      </w:tblGrid>
      <w:tr>
        <w:trPr/>
        <w:tc>
          <w:tcPr>
            <w:tcW w:w="17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Document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Test Plan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System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Railway Reservation System (RRS)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Plan owner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Atharv More — PES1UG24CS276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Test-case owner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Muhammad Affan Dumba — PES1UG24CS280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Team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Team E15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Version / status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1.1 / Submission copy</w:t>
            </w:r>
          </w:p>
        </w:tc>
      </w:tr>
      <w:tr>
        <w:trPr/>
        <w:tc>
          <w:tcPr>
            <w:tcW w:w="17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Date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29 September 2026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Revision History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1"/>
        <w:gridCol w:w="845"/>
        <w:gridCol w:w="5701"/>
        <w:gridCol w:w="2315"/>
      </w:tblGrid>
      <w:tr>
        <w:trPr/>
        <w:tc>
          <w:tcPr>
            <w:tcW w:w="8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Version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Date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Change</w:t>
            </w:r>
          </w:p>
        </w:tc>
        <w:tc>
          <w:tcPr>
            <w:tcW w:w="231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Author</w:t>
            </w:r>
          </w:p>
        </w:tc>
      </w:tr>
      <w:tr>
        <w:trPr/>
        <w:tc>
          <w:tcPr>
            <w:tcW w:w="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1.0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29 Sep 2026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Initial Part 1 plan and ten case specifications.</w:t>
            </w:r>
          </w:p>
        </w:tc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Atharv More / Muhammad Affan Dumba</w:t>
            </w:r>
          </w:p>
        </w:tc>
      </w:tr>
      <w:tr>
        <w:trPr/>
        <w:tc>
          <w:tcPr>
            <w:tcW w:w="89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1.1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29 Sep 2026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Added explicit password-boundary/hash, late-cancellation and booking/cancellation-audit checks; separated submission copy.</w:t>
            </w:r>
          </w:p>
        </w:tc>
        <w:tc>
          <w:tcPr>
            <w:tcW w:w="231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Team E15 review</w:t>
            </w:r>
          </w:p>
        </w:tc>
      </w:tr>
    </w:tbl>
    <w:p>
      <w:pPr>
        <w:pStyle w:val="BodyText"/>
        <w:keepLines/>
        <w:bidi w:val="0"/>
        <w:spacing w:before="160" w:after="240"/>
        <w:ind w:hanging="0" w:start="160" w:end="160"/>
        <w:rPr/>
      </w:pPr>
      <w:r>
        <w:rPr>
          <w:rStyle w:val="Strong"/>
          <w:bdr w:val="single" w:sz="5" w:space="8" w:color="9CC4D1"/>
          <w:shd w:fill="EDF6F8" w:val="clear"/>
        </w:rPr>
        <w:t>Execution status.</w:t>
      </w:r>
      <w:r>
        <w:rPr>
          <w:bdr w:val="single" w:sz="5" w:space="8" w:color="9CC4D1"/>
          <w:shd w:fill="EDF6F8" w:val="clear"/>
        </w:rPr>
        <w:t xml:space="preserve"> The cases in §5.2 are specifications, not claims of execution. Actual result, evidence, tester, date, build and status are recorded when an implementation is available.</w:t>
      </w:r>
    </w:p>
    <w:p>
      <w:pPr>
        <w:pStyle w:val="Heading1"/>
        <w:keepNext w:val="true"/>
        <w:pBdr>
          <w:bottom w:val="single" w:sz="12" w:space="4" w:color="1F6F8B"/>
        </w:pBdr>
        <w:bidi w:val="0"/>
        <w:spacing w:before="440" w:after="200"/>
        <w:ind w:start="440" w:end="440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w:anchor="intro">
        <w:r>
          <w:rPr>
            <w:rStyle w:val="Hyperlink"/>
          </w:rPr>
          <w:t>1. Introduction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w:anchor="scope">
        <w:r>
          <w:rPr>
            <w:rStyle w:val="Hyperlink"/>
          </w:rPr>
          <w:t>2. Test Items and Scope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w:anchor="strategy">
        <w:r>
          <w:rPr>
            <w:rStyle w:val="Hyperlink"/>
          </w:rPr>
          <w:t>3. Test Strategy and Approach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w:anchor="environment">
        <w:r>
          <w:rPr>
            <w:rStyle w:val="Hyperlink"/>
          </w:rPr>
          <w:t>4. Environment, Responsibilities and Schedule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w:anchor="design">
        <w:r>
          <w:rPr>
            <w:rStyle w:val="Hyperlink"/>
          </w:rPr>
          <w:t>5. Test Design and Validation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w:anchor="security">
        <w:r>
          <w:rPr>
            <w:rStyle w:val="Hyperlink"/>
          </w:rPr>
          <w:t>5.1 Security validation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w:anchor="cases">
        <w:r>
          <w:rPr>
            <w:rStyle w:val="Hyperlink"/>
          </w:rPr>
          <w:t>5.2 Test cases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hyperlink w:anchor="completion">
        <w:r>
          <w:rPr>
            <w:rStyle w:val="Hyperlink"/>
          </w:rPr>
          <w:t>6. Completion and Deliverables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hyperlink w:anchor="traceability">
        <w:r>
          <w:rPr>
            <w:rStyle w:val="Hyperlink"/>
          </w:rPr>
          <w:t>7. Requirement Traceability Matrix</w:t>
        </w:r>
      </w:hyperlink>
      <w:r>
        <w:rPr/>
        <w:t xml:space="preserve"> </w:t>
      </w:r>
    </w:p>
    <w:p>
      <w:pPr>
        <w:pStyle w:val="Heading1"/>
        <w:bidi w:val="0"/>
        <w:ind w:hanging="0" w:start="0" w:end="0"/>
        <w:rPr/>
      </w:pPr>
      <w:bookmarkStart w:id="0" w:name="intro"/>
      <w:bookmarkEnd w:id="0"/>
      <w:r>
        <w:rPr/>
        <w:t>1. Introduction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1.1 Purpose</w:t>
      </w:r>
    </w:p>
    <w:p>
      <w:pPr>
        <w:pStyle w:val="BodyText"/>
        <w:bidi w:val="0"/>
        <w:spacing w:before="0" w:after="140"/>
        <w:rPr/>
      </w:pPr>
      <w:r>
        <w:rPr/>
        <w:t>This plan defines the scope, strategy, resources, environment, entry/exit criteria, security validation and traceability for system testing of RRS. The SRS v1.1 is the requirements baseline.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1.2 Objectives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Verify all functional, non-functional and security requirements.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Verify booking/cancellation invariants under normal, failure and concurrent conditions.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Produce repeatable evidence and a requirement-level completion review.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1.3 References</w:t>
      </w:r>
    </w:p>
    <w:p>
      <w:pPr>
        <w:pStyle w:val="BodyText"/>
        <w:bidi w:val="0"/>
        <w:spacing w:before="0" w:after="140"/>
        <w:rPr/>
      </w:pPr>
      <w:r>
        <w:rPr/>
        <w:t>Team E15 RRS SRS v1.1; Team E15 Architecture and Design Specification v1.1; ISO/IEC/IEEE 29119-3:2021 test documentation guidance.</w:t>
      </w:r>
    </w:p>
    <w:p>
      <w:pPr>
        <w:pStyle w:val="Heading1"/>
        <w:bidi w:val="0"/>
        <w:ind w:hanging="0" w:start="0" w:end="0"/>
        <w:rPr/>
      </w:pPr>
      <w:bookmarkStart w:id="1" w:name="scope"/>
      <w:bookmarkEnd w:id="1"/>
      <w:r>
        <w:rPr/>
        <w:t>2. Test Items and Scope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51"/>
        <w:gridCol w:w="8301"/>
      </w:tblGrid>
      <w:tr>
        <w:trPr/>
        <w:tc>
          <w:tcPr>
            <w:tcW w:w="14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In scope</w:t>
            </w:r>
          </w:p>
        </w:tc>
        <w:tc>
          <w:tcPr>
            <w:tcW w:w="8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Registration; authentication; search; availability; booking; history; cancellation; administration; audit; performance; concurrency; restart recovery; accessibility; compatibility; transport, session, credential and authorization security.</w:t>
            </w:r>
          </w:p>
        </w:tc>
      </w:tr>
      <w:tr>
        <w:trPr/>
        <w:tc>
          <w:tcPr>
            <w:tcW w:w="14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Test items</w:t>
            </w:r>
          </w:p>
        </w:tc>
        <w:tc>
          <w:tcPr>
            <w:tcW w:w="8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Browser UI, REST API, domain services, relational database behavior and payment-simulator integration.</w:t>
            </w:r>
          </w:p>
        </w:tc>
      </w:tr>
      <w:tr>
        <w:trPr/>
        <w:tc>
          <w:tcPr>
            <w:tcW w:w="14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Out of scope</w:t>
            </w:r>
          </w:p>
        </w:tc>
        <w:tc>
          <w:tcPr>
            <w:tcW w:w="8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Real card payments, live railway feeds, production disaster recovery, dynamic pricing and wait-list allocation.</w:t>
            </w:r>
          </w:p>
        </w:tc>
      </w:tr>
      <w:tr>
        <w:trPr/>
        <w:tc>
          <w:tcPr>
            <w:tcW w:w="14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Assumptions</w:t>
            </w:r>
          </w:p>
        </w:tc>
        <w:tc>
          <w:tcPr>
            <w:tcW w:w="830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Seeded synthetic data, test-only database inspection, configurable payment outcomes and current supported browsers are available.</w:t>
            </w:r>
          </w:p>
        </w:tc>
      </w:tr>
    </w:tbl>
    <w:p>
      <w:pPr>
        <w:pStyle w:val="Heading1"/>
        <w:bidi w:val="0"/>
        <w:ind w:hanging="0" w:start="0" w:end="0"/>
        <w:rPr/>
      </w:pPr>
      <w:bookmarkStart w:id="2" w:name="strategy"/>
      <w:bookmarkEnd w:id="2"/>
      <w:r>
        <w:rPr/>
        <w:t>3. Test Strategy and Approach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3.1 Test Levels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Unit:</w:t>
      </w:r>
      <w:r>
        <w:rPr/>
        <w:t xml:space="preserve"> validation, password policy, state transitions and availability calculations.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API integration:</w:t>
      </w:r>
      <w:r>
        <w:rPr/>
        <w:t xml:space="preserve"> authorization, database constraints, persistence, idempotency and simulator outcomes.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System:</w:t>
      </w:r>
      <w:r>
        <w:rPr/>
        <w:t xml:space="preserve"> passenger/administrator browser workflows, accessibility and compatibility.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Non-functional:</w:t>
      </w:r>
      <w:r>
        <w:rPr/>
        <w:t xml:space="preserve"> load, concurrency and restart recovery.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3.2 Techniques</w:t>
      </w:r>
    </w:p>
    <w:p>
      <w:pPr>
        <w:pStyle w:val="BodyText"/>
        <w:bidi w:val="0"/>
        <w:spacing w:before="0" w:after="140"/>
        <w:rPr/>
      </w:pPr>
      <w:r>
        <w:rPr/>
        <w:t>Positive/negative scenarios, equivalence partitions, boundary values, role/ownership checks, duplicate submission, state-transition testing and concurrent final-seat requests are used. Automated checks are preferred for API, load and security work; keyboard and visual compatibility checks may be manual with recorded evidence.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3.3 Test Data</w:t>
      </w:r>
    </w:p>
    <w:p>
      <w:pPr>
        <w:pStyle w:val="BodyText"/>
        <w:bidi w:val="0"/>
        <w:spacing w:before="0" w:after="140"/>
        <w:rPr/>
      </w:pPr>
      <w:r>
        <w:rPr/>
        <w:t>Use synthetic passenger accounts P1 and P2, administrator A1, trips with zero/one/multiple seats, a departed trip, success/failure simulator modes and a 10,000-trip performance seed. Reset independent cases to a known database snapshot.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3.4 Defect Handling</w:t>
      </w:r>
    </w:p>
    <w:p>
      <w:pPr>
        <w:pStyle w:val="BodyText"/>
        <w:bidi w:val="0"/>
        <w:spacing w:before="0" w:after="140"/>
        <w:rPr/>
      </w:pPr>
      <w:r>
        <w:rPr/>
        <w:t>Record case ID, build, environment, reproducible steps, expected/actual results, severity and evidence. Retest a fix and execute affected regression cases. Critical or high defects block exit unless a documented academic-review decision states otherwise.</w:t>
      </w:r>
    </w:p>
    <w:p>
      <w:pPr>
        <w:pStyle w:val="Heading1"/>
        <w:bidi w:val="0"/>
        <w:ind w:hanging="0" w:start="0" w:end="0"/>
        <w:rPr/>
      </w:pPr>
      <w:bookmarkStart w:id="3" w:name="environment"/>
      <w:bookmarkEnd w:id="3"/>
      <w:r>
        <w:rPr/>
        <w:t>4. Environment, Responsibilities and Schedule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4.1 Environment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HTTPS test deployment and isolated relational test database.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Current stable Chrome, Edge and Firefox; 375-pixel and 1280-pixel viewports.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Load/concurrency tool supporting at least 50 virtual users and synchronized requests.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Authorized, read-only database/log inspection for credential and audit validation. 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4.2 Responsibilities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2"/>
        <w:gridCol w:w="7230"/>
      </w:tblGrid>
      <w:tr>
        <w:trPr/>
        <w:tc>
          <w:tcPr>
            <w:tcW w:w="25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Member</w:t>
            </w:r>
          </w:p>
        </w:tc>
        <w:tc>
          <w:tcPr>
            <w:tcW w:w="723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Responsibility</w:t>
            </w:r>
          </w:p>
        </w:tc>
      </w:tr>
      <w:tr>
        <w:trPr/>
        <w:tc>
          <w:tcPr>
            <w:tcW w:w="252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Atharv More</w:t>
            </w:r>
          </w:p>
        </w:tc>
        <w:tc>
          <w:tcPr>
            <w:tcW w:w="723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Test Plan ownership, environment coordination, execution tracking and exit review.</w:t>
            </w:r>
          </w:p>
        </w:tc>
      </w:tr>
      <w:tr>
        <w:trPr/>
        <w:tc>
          <w:tcPr>
            <w:tcW w:w="252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Muhammad Affan Dumba</w:t>
            </w:r>
          </w:p>
        </w:tc>
        <w:tc>
          <w:tcPr>
            <w:tcW w:w="723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§5.2 test-case specifications, coverage maintenance and evidence checklist.</w:t>
            </w:r>
          </w:p>
        </w:tc>
      </w:tr>
      <w:tr>
        <w:trPr/>
        <w:tc>
          <w:tcPr>
            <w:tcW w:w="252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Mohit Singh P</w:t>
            </w:r>
          </w:p>
        </w:tc>
        <w:tc>
          <w:tcPr>
            <w:tcW w:w="723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Requirement mapping review.</w:t>
            </w:r>
          </w:p>
        </w:tc>
      </w:tr>
      <w:tr>
        <w:trPr/>
        <w:tc>
          <w:tcPr>
            <w:tcW w:w="2522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Mohammed Rizwan Shaikh</w:t>
            </w:r>
          </w:p>
        </w:tc>
        <w:tc>
          <w:tcPr>
            <w:tcW w:w="7230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Architecture-related setup, interface and failure-behavior review.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4.3 Sequence</w:t>
      </w:r>
    </w:p>
    <w:p>
      <w:pPr>
        <w:pStyle w:val="BodyText"/>
        <w:bidi w:val="0"/>
        <w:spacing w:before="0" w:after="140"/>
        <w:rPr/>
      </w:pPr>
      <w:r>
        <w:rPr/>
        <w:t>Baseline documents → deploy/seed → smoke test → functional/security cases → performance/concurrency → accessibility/compatibility → defect retest/regression → traceability and exit review.</w:t>
      </w:r>
    </w:p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4.4 Entry and Exit Criteria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7"/>
        <w:gridCol w:w="9095"/>
      </w:tblGrid>
      <w:tr>
        <w:trPr/>
        <w:tc>
          <w:tcPr>
            <w:tcW w:w="6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Entry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SRS and design baselined; test build deployed; simulator and seed data available; test accounts and evidence repository prepared.</w:t>
            </w:r>
          </w:p>
        </w:tc>
      </w:tr>
      <w:tr>
        <w:trPr/>
        <w:tc>
          <w:tcPr>
            <w:tcW w:w="6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Exit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All ten cases have recorded outcomes; no open critical/high defects; every FR/NFR/SEC statement is demonstrably covered or has a documented follow-up test; evidence is reviewed.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bidi w:val="0"/>
        <w:spacing w:before="340" w:after="140"/>
        <w:ind w:start="340" w:end="340"/>
        <w:rPr/>
      </w:pPr>
      <w:r>
        <w:rPr/>
        <w:t>4.5 Risks and Mitigations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83"/>
        <w:gridCol w:w="6469"/>
      </w:tblGrid>
      <w:tr>
        <w:trPr/>
        <w:tc>
          <w:tcPr>
            <w:tcW w:w="328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Risk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328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Environment timing distorts performance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Record hardware/build/tool versions; warm up; repeat runs using the same seed.</w:t>
            </w:r>
          </w:p>
        </w:tc>
      </w:tr>
      <w:tr>
        <w:trPr/>
        <w:tc>
          <w:tcPr>
            <w:tcW w:w="328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30-minute session test is slow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Run the real-duration acceptance check; use configurable time only for earlier regression.</w:t>
            </w:r>
          </w:p>
        </w:tc>
      </w:tr>
      <w:tr>
        <w:trPr/>
        <w:tc>
          <w:tcPr>
            <w:tcW w:w="328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Concurrent requests are not synchronized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Use a barrier so all 20 final-seat requests start together.</w:t>
            </w:r>
          </w:p>
        </w:tc>
      </w:tr>
      <w:tr>
        <w:trPr/>
        <w:tc>
          <w:tcPr>
            <w:tcW w:w="328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Sensitive test data leaks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Use synthetic identities and redact tokens/passwords from evidence.</w:t>
            </w:r>
          </w:p>
        </w:tc>
      </w:tr>
    </w:tbl>
    <w:p>
      <w:pPr>
        <w:pStyle w:val="Heading1"/>
        <w:bidi w:val="0"/>
        <w:ind w:hanging="0" w:start="0" w:end="0"/>
        <w:rPr/>
      </w:pPr>
      <w:bookmarkStart w:id="4" w:name="design"/>
      <w:bookmarkEnd w:id="4"/>
      <w:r>
        <w:rPr/>
        <w:t>5. Test Design and Validation</w:t>
      </w:r>
    </w:p>
    <w:p>
      <w:pPr>
        <w:pStyle w:val="BodyText"/>
        <w:bidi w:val="0"/>
        <w:spacing w:before="0" w:after="140"/>
        <w:rPr/>
      </w:pPr>
      <w:r>
        <w:rPr/>
        <w:t>A case passes only when every expected result is observed and retained evidence supports the result. Failure of one assertion fails the case until corrected and rerun.</w:t>
      </w:r>
    </w:p>
    <w:p>
      <w:pPr>
        <w:pStyle w:val="Heading2"/>
        <w:bidi w:val="0"/>
        <w:ind w:hanging="0" w:start="0" w:end="0"/>
        <w:rPr/>
      </w:pPr>
      <w:bookmarkStart w:id="5" w:name="security"/>
      <w:bookmarkEnd w:id="5"/>
      <w:r>
        <w:rPr/>
        <w:t>5.1 Security Validation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5"/>
        <w:gridCol w:w="7993"/>
        <w:gridCol w:w="1154"/>
      </w:tblGrid>
      <w:tr>
        <w:trPr/>
        <w:tc>
          <w:tcPr>
            <w:tcW w:w="60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ID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Validation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Cases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SV-01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Verify generic authentication failure, fifth-attempt threshold, 15-minute rejection window and password-free audit records.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TC-02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SV-02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Use P2 against P1’s booking and P1 against administrator endpoints; expect 403/404 with no protected data.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TC-06, TC-07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SV-03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Inspect HTTPS, replay a signed-out token and test expiry after 30 minutes of inactivity.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TC-09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SV-04</w:t>
            </w:r>
          </w:p>
        </w:tc>
        <w:tc>
          <w:tcPr>
            <w:tcW w:w="7993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Inspect authorized test storage/logs: password is a salted adaptive hash and plaintext is absent from database, API responses and logs.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TC-01, TC-02</w:t>
            </w:r>
          </w:p>
        </w:tc>
      </w:tr>
    </w:tbl>
    <w:p>
      <w:pPr>
        <w:pStyle w:val="Heading2"/>
        <w:bidi w:val="0"/>
        <w:ind w:hanging="0" w:start="0" w:end="0"/>
        <w:rPr/>
      </w:pPr>
      <w:bookmarkStart w:id="6" w:name="cases"/>
      <w:bookmarkEnd w:id="6"/>
      <w:r>
        <w:rPr/>
        <w:t>5.2 Test Cases</w:t>
      </w:r>
    </w:p>
    <w:p>
      <w:pPr>
        <w:pStyle w:val="Heading3"/>
        <w:keepLines/>
        <w:bidi w:val="0"/>
        <w:ind w:hanging="0" w:start="0" w:end="0"/>
        <w:rPr/>
      </w:pPr>
      <w:r>
        <w:rPr/>
        <w:t>TC-01 — Registration, Password Boundary and Credential Storage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No P1 account; authorized test-only read access to user storage and logs.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Procedure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Submit an 11-character password; submit a valid 12-character password and unique email; repeat the same email; inspect stored credential, response and logs.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11-character input is rejected; valid input creates one account; duplicate is rejected; stored value is a salted adaptive hash and does not equal the password; plaintext appears in neither responses nor logs.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FR-01; SEC-02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Evidence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API/UI responses, redacted storage inspection and log search.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TC-02 — Sign-In, Lockout and Authentication Audit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P1 exists and is unlocked.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Procedure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Sign in correctly and sign out; submit five incorrect passwords within 15 minutes; attempt a sixth; inspect audit; retry after the 15-minute rejection period.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Valid login works; invalid responses are generic; sixth attempt is rejected for 15 minutes; success, failures and rejection are audited without submitted passwords; access resumes after the period with valid credentials.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FR-02, FR-09; SEC-02, SEC-04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Evidence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Timestamped responses and redacted audit records.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TC-03 — Search and Availability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Matching, nonmatching, sold-out and multiple-departure trips are seeded.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Procedure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Search by origin, destination and date; inspect filtering, ordering and every availability value.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Only exact route/date matches appear in departure order; every count is between zero and capacity.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FR-03, FR-04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Evidence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Seed extract and ordered API/UI result.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TC-04 — Successful Booking, History and Audit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P1 signed in; selected trip has one free seat; simulator succeeds.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Procedure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Submit one booking; query P1 history and audit records.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Exactly one confirmed booking with unique PNR and one allocated seat; P1 history shows PNR/trip/seat/fare/status; confirmation audit contains actor, action, time and outcome.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FR-05, FR-06, FR-09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Evidence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Booking response, database state, history and audit event.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TC-05 — Payment Failure and Idempotent Retry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P1 signed in; one free seat; known idempotency key.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Procedure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Run with simulator failure; verify state. Then configure success and send the same logical request twice with one new idempotency key.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Failure confirms nothing and releases the hold; duplicate success calls return one booking/PNR and allocate one seat.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FR-05; NFR-03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Evidence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Responses, booking count and inventory before/after.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TC-06 — Ownership, Eligible/Late Cancellation and Audit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P1 owns one future confirmed booking and one departed confirmed booking; P2 signed in separately.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Procedure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P2 reads/cancels P1 future booking; P1 cancels it twice; P1 attempts to cancel the departed booking; inspect inventory/refund/audit.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P2 gets 403/404 without details; P1’s first eligible cancellation succeeds with one seat release/refund reference/audit event; repeat and late attempts are rejected without further inventory change.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FR-06, FR-07, FR-09; SEC-01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Evidence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Responses, inventory deltas, payment event and audit events.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TC-07 — Administrator Inventory, Authorization and Audit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A1 administrator and P1 passenger exist.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Procedure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P1 attempts administrator create; A1 creates, edits and disables a trip; inspect state and audit.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P1 receives 403; A1 changes persist; each change has actor, timestamp, action and outcome.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FR-08, FR-09; SEC-01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Evidence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Responses, final trip state and audit events.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TC-08 — Concurrent Final Seat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Exactly one seat; 20 distinct authenticated passengers; simulator succeeds.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Procedure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Release 20 booking requests simultaneously from a synchronization barrier; inspect bookings and availability.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At most one confirmation; others report unavailable; final count is zero and is never negative.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FR-04, FR-05; NFR-03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Evidence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Tool timestamps, responses, booking count and availability history.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TC-09 — Transport, Session and Restart Recovery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HTTPS deployment; P1 session; committed booking exists.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Procedure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Inspect transport; sign out and replay token; create a session, wait 30 minutes idle and reuse it; restart application; query health and booking.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Authenticated traffic uses HTTPS; signed-out/expired tokens fail; booking persists; health responds within 60 seconds; logs omit tokens/passwords.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NFR-04; SEC-02, SEC-03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Evidence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Transport capture, timestamped responses, restart log and persisted record.</w:t>
            </w:r>
          </w:p>
        </w:tc>
      </w:tr>
    </w:tbl>
    <w:p>
      <w:pPr>
        <w:pStyle w:val="Heading3"/>
        <w:keepLines/>
        <w:bidi w:val="0"/>
        <w:ind w:hanging="0" w:start="0" w:end="0"/>
        <w:rPr/>
      </w:pPr>
      <w:r>
        <w:rPr/>
        <w:t>TC-10 — Performance, Accessibility and Compatibility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1"/>
        <w:gridCol w:w="8231"/>
      </w:tblGrid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Preconditions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10,000 trips; 50 virtual users; Chrome/Edge/Firefox; 375px and 1280px viewports.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Procedure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Run 200 searches and 100 bookings at 50 users; complete required workflows by keyboard at both widths in each browser; inspect accessible names.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Expected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≥</w:t>
            </w:r>
            <w:r>
              <w:rPr/>
              <w:t>95% searches ≤2s; ≥95% bookings ≤3s under the simulator condition; keyboard completion succeeds; every required control has an accessible name; no primary-form horizontal scrolling.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Traceability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NFR-01, NFR-02, NFR-05, NFR-06</w:t>
            </w:r>
          </w:p>
        </w:tc>
      </w:tr>
      <w:tr>
        <w:trPr/>
        <w:tc>
          <w:tcPr>
            <w:tcW w:w="15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Evidence</w:t>
            </w:r>
          </w:p>
        </w:tc>
        <w:tc>
          <w:tcPr>
            <w:tcW w:w="8231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Load summary, browser/version matrix, screenshots and accessibility report.</w:t>
            </w:r>
          </w:p>
        </w:tc>
      </w:tr>
    </w:tbl>
    <w:p>
      <w:pPr>
        <w:pStyle w:val="Heading1"/>
        <w:bidi w:val="0"/>
        <w:ind w:hanging="0" w:start="0" w:end="0"/>
        <w:rPr/>
      </w:pPr>
      <w:bookmarkStart w:id="7" w:name="completion"/>
      <w:bookmarkEnd w:id="7"/>
      <w:r>
        <w:rPr/>
        <w:t>6. Test Completion and Deliverables</w:t>
      </w:r>
    </w:p>
    <w:p>
      <w:pPr>
        <w:pStyle w:val="BodyText"/>
        <w:bidi w:val="0"/>
        <w:spacing w:before="0" w:after="140"/>
        <w:rPr/>
      </w:pPr>
      <w:r>
        <w:rPr/>
        <w:t>Evidence includes completed case records, API responses/screenshots, performance summaries, accessibility notes, audit/storage inspection, defect log and final traceability review. A failed case is not waived without a recorded decision and reason.</w:t>
      </w:r>
    </w:p>
    <w:tbl>
      <w:tblPr>
        <w:tblW w:w="97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94"/>
        <w:gridCol w:w="6958"/>
      </w:tblGrid>
      <w:tr>
        <w:trPr/>
        <w:tc>
          <w:tcPr>
            <w:tcW w:w="279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Execution metadata required per case</w:t>
            </w:r>
          </w:p>
        </w:tc>
        <w:tc>
          <w:tcPr>
            <w:tcW w:w="695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Build, environment, tester, date/time, actual result, evidence link, pass/fail/block status and defect ID where applicable.</w:t>
            </w:r>
          </w:p>
        </w:tc>
      </w:tr>
      <w:tr>
        <w:trPr/>
        <w:tc>
          <w:tcPr>
            <w:tcW w:w="279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Completion review</w:t>
            </w:r>
          </w:p>
        </w:tc>
        <w:tc>
          <w:tcPr>
            <w:tcW w:w="6958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Test owner and requirement reviewer confirm evidence and unresolved risks against exit criteria.</w:t>
            </w:r>
          </w:p>
        </w:tc>
      </w:tr>
    </w:tbl>
    <w:p>
      <w:pPr>
        <w:pStyle w:val="Heading1"/>
        <w:bidi w:val="0"/>
        <w:ind w:hanging="0" w:start="0" w:end="0"/>
        <w:rPr/>
      </w:pPr>
      <w:bookmarkStart w:id="8" w:name="traceability"/>
      <w:bookmarkEnd w:id="8"/>
      <w:r>
        <w:rPr/>
        <w:t>7. Requirement Traceability Matrix</w:t>
      </w:r>
    </w:p>
    <w:tbl>
      <w:tblPr>
        <w:tblW w:w="42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04"/>
        <w:gridCol w:w="2826"/>
      </w:tblGrid>
      <w:tr>
        <w:trPr/>
        <w:tc>
          <w:tcPr>
            <w:tcW w:w="140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Requirement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0"/>
              <w:jc w:val="start"/>
              <w:rPr/>
            </w:pPr>
            <w:r>
              <w:rPr/>
              <w:t>Planned verification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FR-01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TC-01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FR-02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TC-02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FR-03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TC-03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FR-04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TC-03, TC-08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FR-05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TC-04, TC-05, TC-08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FR-06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TC-04, TC-06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FR-07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TC-06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FR-08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TC-07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FR-09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TC-02, TC-04, TC-06, TC-07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NFR-01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TC-10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NFR-02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TC-10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NFR-03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TC-05, TC-08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NFR-04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TC-09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NFR-05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TC-10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NFR-06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TC-10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SEC-01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TC-06, TC-07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SEC-02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TC-01, TC-02, TC-09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SEC-03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TC-09</w:t>
            </w:r>
          </w:p>
        </w:tc>
      </w:tr>
      <w:tr>
        <w:trPr/>
        <w:tc>
          <w:tcPr>
            <w:tcW w:w="1404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SEC-04</w:t>
            </w:r>
          </w:p>
        </w:tc>
        <w:tc>
          <w:tcPr>
            <w:tcW w:w="2826" w:type="dxa"/>
            <w:tcBorders/>
            <w:vAlign w:val="center"/>
          </w:tcPr>
          <w:p>
            <w:pPr>
              <w:pStyle w:val="TableContents"/>
              <w:bidi w:val="0"/>
              <w:spacing w:before="0" w:after="140"/>
              <w:jc w:val="start"/>
              <w:rPr/>
            </w:pPr>
            <w:r>
              <w:rPr/>
              <w:t>TC-02</w:t>
            </w:r>
          </w:p>
        </w:tc>
      </w:tr>
    </w:tbl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020" w:gutter="0" w:header="0" w:top="1020" w:footer="0" w:bottom="1077"/>
      <w:pgNumType w:fmt="decimal"/>
      <w:formProt w:val="false"/>
      <w:textDirection w:val="lrTb"/>
      <w:docGrid w:type="default" w:linePitch="600" w:charSpace="3993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1"/>
    </w:pPr>
    <w:rPr>
      <w:rFonts w:ascii="Liberation Sans;Arial;sans-serif" w:hAnsi="Liberation Sans;Arial;sans-serif" w:eastAsia="Liberation Sans;Arial;sans-serif" w:cs="Liberation Sans;Arial;sans-serif"/>
      <w:color w:val="17212B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pBdr>
        <w:bottom w:val="single" w:sz="12" w:space="4" w:color="1F6F8B"/>
      </w:pBdr>
      <w:spacing w:before="440" w:after="200"/>
      <w:ind w:start="440" w:end="440"/>
    </w:pPr>
    <w:rPr>
      <w:b/>
      <w:bCs/>
      <w:color w:val="143A5A"/>
      <w:sz w:val="36"/>
      <w:szCs w:val="36"/>
    </w:rPr>
  </w:style>
  <w:style w:type="paragraph" w:styleId="Heading2">
    <w:name w:val="heading 2"/>
    <w:basedOn w:val="Heading"/>
    <w:next w:val="BodyText"/>
    <w:qFormat/>
    <w:pPr>
      <w:keepNext w:val="true"/>
      <w:numPr>
        <w:ilvl w:val="0"/>
        <w:numId w:val="0"/>
      </w:numPr>
      <w:spacing w:before="340" w:after="140"/>
      <w:ind w:start="340" w:end="340"/>
      <w:outlineLvl w:val="1"/>
    </w:pPr>
    <w:rPr>
      <w:rFonts w:ascii="Liberation Serif" w:hAnsi="Liberation Serif" w:eastAsia="Noto Serif CJK SC" w:cs="FreeSans"/>
      <w:b/>
      <w:bCs/>
      <w:color w:val="143A5A"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numPr>
        <w:ilvl w:val="0"/>
        <w:numId w:val="0"/>
      </w:numPr>
      <w:spacing w:before="260" w:after="100"/>
      <w:ind w:start="260" w:end="260"/>
      <w:outlineLvl w:val="2"/>
    </w:pPr>
    <w:rPr>
      <w:rFonts w:ascii="Liberation Serif" w:hAnsi="Liberation Serif" w:eastAsia="Noto Serif CJK SC" w:cs="FreeSans"/>
      <w:b/>
      <w:bCs/>
      <w:color w:val="143A5A"/>
      <w:sz w:val="23"/>
      <w:szCs w:val="23"/>
    </w:rPr>
  </w:style>
  <w:style w:type="paragraph" w:styleId="Heading4">
    <w:name w:val="heading 4"/>
    <w:basedOn w:val="Heading"/>
    <w:next w:val="BodyText"/>
    <w:qFormat/>
    <w:pPr>
      <w:keepNext w:val="true"/>
      <w:numPr>
        <w:ilvl w:val="0"/>
        <w:numId w:val="0"/>
      </w:numPr>
      <w:spacing w:before="200" w:after="80"/>
      <w:ind w:start="200" w:end="200"/>
      <w:outlineLvl w:val="3"/>
    </w:pPr>
    <w:rPr>
      <w:rFonts w:ascii="Liberation Serif" w:hAnsi="Liberation Serif" w:eastAsia="Noto Serif CJK SC" w:cs="FreeSans"/>
      <w:b/>
      <w:bCs/>
      <w:color w:val="143A5A"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color w:val="7A2448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143A5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1663</Words>
  <Characters>10878</Characters>
  <CharactersWithSpaces>12267</CharactersWithSpaces>
  <Paragraphs>286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Test Plan — Railway Reservation System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