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rPr/>
      </w:pPr>
      <w:r>
        <w:rPr/>
        <w:t>Software Engineering Mini Project · Team E15</w:t>
      </w:r>
    </w:p>
    <w:p>
      <w:pPr>
        <w:pStyle w:val="Heading1"/>
        <w:keepNext w:val="true"/>
        <w:pBdr>
          <w:bottom w:val="single" w:sz="12" w:space="4" w:color="1F6F8B"/>
        </w:pBdr>
        <w:bidi w:val="0"/>
        <w:spacing w:before="440" w:after="200"/>
        <w:ind w:start="440" w:end="440"/>
        <w:rPr/>
      </w:pPr>
      <w:r>
        <w:rPr/>
        <w:t>Software Architecture and Design Specification</w:t>
      </w:r>
    </w:p>
    <w:p>
      <w:pPr>
        <w:pStyle w:val="BodyText"/>
        <w:bidi w:val="0"/>
        <w:spacing w:before="0" w:after="0"/>
        <w:rPr/>
      </w:pPr>
      <w:r>
        <w:rPr/>
        <w:t>Railway Reservation System</w:t>
      </w:r>
    </w:p>
    <w:p>
      <w:pPr>
        <w:pStyle w:val="BodyText"/>
        <w:bidi w:val="0"/>
        <w:spacing w:before="0" w:after="0"/>
        <w:rPr/>
      </w:pPr>
      <w:r>
        <w:rPr/>
        <w:t>Prepared by Mohammed Rizwan Shaikh</w:t>
      </w:r>
    </w:p>
    <w:p>
      <w:pPr>
        <w:pStyle w:val="BodyText"/>
        <w:bidi w:val="0"/>
        <w:spacing w:before="0" w:after="0"/>
        <w:rPr/>
      </w:pPr>
      <w:r>
        <w:rPr/>
        <w:t>PES1UG24CS272</w:t>
        <w:br/>
        <w:t>Version 1.1 · 29 September 2026</w:t>
        <w:br/>
        <w:t>IEEE 1016-aligned structure</w:t>
      </w:r>
    </w:p>
    <w:p>
      <w:pPr>
        <w:pStyle w:val="BodyText"/>
        <w:bidi w:val="0"/>
        <w:spacing w:before="0" w:after="140"/>
        <w:rPr/>
      </w:pPr>
      <w:r>
        <w:rPr/>
        <w:t>Submission Copy</w:t>
      </w:r>
    </w:p>
    <w:p>
      <w:pPr>
        <w:pStyle w:val="Heading1"/>
        <w:keepNext w:val="true"/>
        <w:pBdr>
          <w:bottom w:val="single" w:sz="12" w:space="4" w:color="1F6F8B"/>
        </w:pBdr>
        <w:bidi w:val="0"/>
        <w:spacing w:before="440" w:after="200"/>
        <w:ind w:start="440" w:end="440"/>
        <w:rPr/>
      </w:pPr>
      <w:r>
        <w:rPr/>
        <w:t>Document Control</w:t>
      </w:r>
    </w:p>
    <w:tbl>
      <w:tblPr>
        <w:tblW w:w="6443" w:type="dxa"/>
        <w:jc w:val="start"/>
        <w:tblInd w:w="0" w:type="dxa"/>
        <w:tblLayout w:type="fixed"/>
        <w:tblCellMar>
          <w:top w:w="28" w:type="dxa"/>
          <w:start w:w="28" w:type="dxa"/>
          <w:bottom w:w="28" w:type="dxa"/>
          <w:end w:w="28" w:type="dxa"/>
        </w:tblCellMar>
      </w:tblPr>
      <w:tblGrid>
        <w:gridCol w:w="1684"/>
        <w:gridCol w:w="4759"/>
      </w:tblGrid>
      <w:tr>
        <w:trPr/>
        <w:tc>
          <w:tcPr>
            <w:tcW w:w="1684" w:type="dxa"/>
            <w:tcBorders/>
            <w:vAlign w:val="center"/>
          </w:tcPr>
          <w:p>
            <w:pPr>
              <w:pStyle w:val="TableHeading"/>
              <w:suppressLineNumbers/>
              <w:bidi w:val="0"/>
              <w:spacing w:before="0" w:after="140"/>
              <w:jc w:val="start"/>
              <w:rPr/>
            </w:pPr>
            <w:r>
              <w:rPr/>
              <w:t>Document</w:t>
            </w:r>
          </w:p>
        </w:tc>
        <w:tc>
          <w:tcPr>
            <w:tcW w:w="4759" w:type="dxa"/>
            <w:tcBorders/>
            <w:vAlign w:val="center"/>
          </w:tcPr>
          <w:p>
            <w:pPr>
              <w:pStyle w:val="TableContents"/>
              <w:bidi w:val="0"/>
              <w:spacing w:before="0" w:after="140"/>
              <w:jc w:val="start"/>
              <w:rPr/>
            </w:pPr>
            <w:r>
              <w:rPr/>
              <w:t>Software Architecture and Design Specification</w:t>
            </w:r>
          </w:p>
        </w:tc>
      </w:tr>
      <w:tr>
        <w:trPr/>
        <w:tc>
          <w:tcPr>
            <w:tcW w:w="1684" w:type="dxa"/>
            <w:tcBorders/>
            <w:vAlign w:val="center"/>
          </w:tcPr>
          <w:p>
            <w:pPr>
              <w:pStyle w:val="TableHeading"/>
              <w:suppressLineNumbers/>
              <w:bidi w:val="0"/>
              <w:spacing w:before="0" w:after="140"/>
              <w:jc w:val="start"/>
              <w:rPr/>
            </w:pPr>
            <w:r>
              <w:rPr/>
              <w:t>System</w:t>
            </w:r>
          </w:p>
        </w:tc>
        <w:tc>
          <w:tcPr>
            <w:tcW w:w="4759" w:type="dxa"/>
            <w:tcBorders/>
            <w:vAlign w:val="center"/>
          </w:tcPr>
          <w:p>
            <w:pPr>
              <w:pStyle w:val="TableContents"/>
              <w:bidi w:val="0"/>
              <w:spacing w:before="0" w:after="140"/>
              <w:jc w:val="start"/>
              <w:rPr/>
            </w:pPr>
            <w:r>
              <w:rPr/>
              <w:t>Railway Reservation System (RRS)</w:t>
            </w:r>
          </w:p>
        </w:tc>
      </w:tr>
      <w:tr>
        <w:trPr/>
        <w:tc>
          <w:tcPr>
            <w:tcW w:w="1684" w:type="dxa"/>
            <w:tcBorders/>
            <w:vAlign w:val="center"/>
          </w:tcPr>
          <w:p>
            <w:pPr>
              <w:pStyle w:val="TableHeading"/>
              <w:suppressLineNumbers/>
              <w:bidi w:val="0"/>
              <w:spacing w:before="0" w:after="140"/>
              <w:jc w:val="start"/>
              <w:rPr/>
            </w:pPr>
            <w:r>
              <w:rPr/>
              <w:t>Owner</w:t>
            </w:r>
          </w:p>
        </w:tc>
        <w:tc>
          <w:tcPr>
            <w:tcW w:w="4759" w:type="dxa"/>
            <w:tcBorders/>
            <w:vAlign w:val="center"/>
          </w:tcPr>
          <w:p>
            <w:pPr>
              <w:pStyle w:val="TableContents"/>
              <w:bidi w:val="0"/>
              <w:spacing w:before="0" w:after="140"/>
              <w:jc w:val="start"/>
              <w:rPr/>
            </w:pPr>
            <w:r>
              <w:rPr/>
              <w:t>Mohammed Rizwan Shaikh — PES1UG24CS272</w:t>
            </w:r>
          </w:p>
        </w:tc>
      </w:tr>
      <w:tr>
        <w:trPr/>
        <w:tc>
          <w:tcPr>
            <w:tcW w:w="1684" w:type="dxa"/>
            <w:tcBorders/>
            <w:vAlign w:val="center"/>
          </w:tcPr>
          <w:p>
            <w:pPr>
              <w:pStyle w:val="TableHeading"/>
              <w:suppressLineNumbers/>
              <w:bidi w:val="0"/>
              <w:spacing w:before="0" w:after="140"/>
              <w:jc w:val="start"/>
              <w:rPr/>
            </w:pPr>
            <w:r>
              <w:rPr/>
              <w:t>Team</w:t>
            </w:r>
          </w:p>
        </w:tc>
        <w:tc>
          <w:tcPr>
            <w:tcW w:w="4759" w:type="dxa"/>
            <w:tcBorders/>
            <w:vAlign w:val="center"/>
          </w:tcPr>
          <w:p>
            <w:pPr>
              <w:pStyle w:val="TableContents"/>
              <w:bidi w:val="0"/>
              <w:spacing w:before="0" w:after="140"/>
              <w:jc w:val="start"/>
              <w:rPr/>
            </w:pPr>
            <w:r>
              <w:rPr/>
              <w:t>Team E15</w:t>
            </w:r>
          </w:p>
        </w:tc>
      </w:tr>
      <w:tr>
        <w:trPr/>
        <w:tc>
          <w:tcPr>
            <w:tcW w:w="1684" w:type="dxa"/>
            <w:tcBorders/>
            <w:vAlign w:val="center"/>
          </w:tcPr>
          <w:p>
            <w:pPr>
              <w:pStyle w:val="TableHeading"/>
              <w:suppressLineNumbers/>
              <w:bidi w:val="0"/>
              <w:spacing w:before="0" w:after="140"/>
              <w:jc w:val="start"/>
              <w:rPr/>
            </w:pPr>
            <w:r>
              <w:rPr/>
              <w:t>Version / status</w:t>
            </w:r>
          </w:p>
        </w:tc>
        <w:tc>
          <w:tcPr>
            <w:tcW w:w="4759" w:type="dxa"/>
            <w:tcBorders/>
            <w:vAlign w:val="center"/>
          </w:tcPr>
          <w:p>
            <w:pPr>
              <w:pStyle w:val="TableContents"/>
              <w:bidi w:val="0"/>
              <w:spacing w:before="0" w:after="140"/>
              <w:jc w:val="start"/>
              <w:rPr/>
            </w:pPr>
            <w:r>
              <w:rPr/>
              <w:t>1.1 / Submission copy</w:t>
            </w:r>
          </w:p>
        </w:tc>
      </w:tr>
      <w:tr>
        <w:trPr/>
        <w:tc>
          <w:tcPr>
            <w:tcW w:w="1684" w:type="dxa"/>
            <w:tcBorders/>
            <w:vAlign w:val="center"/>
          </w:tcPr>
          <w:p>
            <w:pPr>
              <w:pStyle w:val="TableHeading"/>
              <w:suppressLineNumbers/>
              <w:bidi w:val="0"/>
              <w:spacing w:before="0" w:after="140"/>
              <w:jc w:val="start"/>
              <w:rPr/>
            </w:pPr>
            <w:r>
              <w:rPr/>
              <w:t>Date</w:t>
            </w:r>
          </w:p>
        </w:tc>
        <w:tc>
          <w:tcPr>
            <w:tcW w:w="4759" w:type="dxa"/>
            <w:tcBorders/>
            <w:vAlign w:val="center"/>
          </w:tcPr>
          <w:p>
            <w:pPr>
              <w:pStyle w:val="TableContents"/>
              <w:bidi w:val="0"/>
              <w:spacing w:before="0" w:after="140"/>
              <w:jc w:val="start"/>
              <w:rPr/>
            </w:pPr>
            <w:r>
              <w:rPr/>
              <w:t>29 September 2026</w:t>
            </w:r>
          </w:p>
        </w:tc>
      </w:tr>
    </w:tbl>
    <w:p>
      <w:pPr>
        <w:pStyle w:val="Heading2"/>
        <w:keepNext w:val="true"/>
        <w:numPr>
          <w:ilvl w:val="0"/>
          <w:numId w:val="0"/>
        </w:numPr>
        <w:bidi w:val="0"/>
        <w:spacing w:before="340" w:after="140"/>
        <w:ind w:start="340" w:end="340"/>
        <w:rPr/>
      </w:pPr>
      <w:r>
        <w:rPr/>
        <w:t>Revision History</w:t>
      </w:r>
    </w:p>
    <w:tbl>
      <w:tblPr>
        <w:tblW w:w="9752" w:type="dxa"/>
        <w:jc w:val="start"/>
        <w:tblInd w:w="0" w:type="dxa"/>
        <w:tblLayout w:type="fixed"/>
        <w:tblCellMar>
          <w:top w:w="28" w:type="dxa"/>
          <w:start w:w="28" w:type="dxa"/>
          <w:bottom w:w="28" w:type="dxa"/>
          <w:end w:w="28" w:type="dxa"/>
        </w:tblCellMar>
      </w:tblPr>
      <w:tblGrid>
        <w:gridCol w:w="891"/>
        <w:gridCol w:w="920"/>
        <w:gridCol w:w="5984"/>
        <w:gridCol w:w="1957"/>
      </w:tblGrid>
      <w:tr>
        <w:trPr/>
        <w:tc>
          <w:tcPr>
            <w:tcW w:w="891" w:type="dxa"/>
            <w:tcBorders/>
            <w:vAlign w:val="center"/>
          </w:tcPr>
          <w:p>
            <w:pPr>
              <w:pStyle w:val="TableHeading"/>
              <w:suppressLineNumbers/>
              <w:bidi w:val="0"/>
              <w:spacing w:before="0" w:after="140"/>
              <w:jc w:val="start"/>
              <w:rPr/>
            </w:pPr>
            <w:r>
              <w:rPr/>
              <w:t>Version</w:t>
            </w:r>
          </w:p>
        </w:tc>
        <w:tc>
          <w:tcPr>
            <w:tcW w:w="920" w:type="dxa"/>
            <w:tcBorders/>
            <w:vAlign w:val="center"/>
          </w:tcPr>
          <w:p>
            <w:pPr>
              <w:pStyle w:val="TableHeading"/>
              <w:suppressLineNumbers/>
              <w:bidi w:val="0"/>
              <w:spacing w:before="0" w:after="140"/>
              <w:jc w:val="start"/>
              <w:rPr/>
            </w:pPr>
            <w:r>
              <w:rPr/>
              <w:t>Date</w:t>
            </w:r>
          </w:p>
        </w:tc>
        <w:tc>
          <w:tcPr>
            <w:tcW w:w="5984" w:type="dxa"/>
            <w:tcBorders/>
            <w:vAlign w:val="center"/>
          </w:tcPr>
          <w:p>
            <w:pPr>
              <w:pStyle w:val="TableHeading"/>
              <w:suppressLineNumbers/>
              <w:bidi w:val="0"/>
              <w:spacing w:before="0" w:after="140"/>
              <w:jc w:val="start"/>
              <w:rPr/>
            </w:pPr>
            <w:r>
              <w:rPr/>
              <w:t>Change</w:t>
            </w:r>
          </w:p>
        </w:tc>
        <w:tc>
          <w:tcPr>
            <w:tcW w:w="1957" w:type="dxa"/>
            <w:tcBorders/>
            <w:vAlign w:val="center"/>
          </w:tcPr>
          <w:p>
            <w:pPr>
              <w:pStyle w:val="TableHeading"/>
              <w:suppressLineNumbers/>
              <w:bidi w:val="0"/>
              <w:spacing w:before="0" w:after="140"/>
              <w:jc w:val="start"/>
              <w:rPr/>
            </w:pPr>
            <w:r>
              <w:rPr/>
              <w:t>Author</w:t>
            </w:r>
          </w:p>
        </w:tc>
      </w:tr>
      <w:tr>
        <w:trPr/>
        <w:tc>
          <w:tcPr>
            <w:tcW w:w="891" w:type="dxa"/>
            <w:tcBorders/>
            <w:vAlign w:val="center"/>
          </w:tcPr>
          <w:p>
            <w:pPr>
              <w:pStyle w:val="TableContents"/>
              <w:bidi w:val="0"/>
              <w:spacing w:before="0" w:after="140"/>
              <w:jc w:val="start"/>
              <w:rPr/>
            </w:pPr>
            <w:r>
              <w:rPr/>
              <w:t>1.0</w:t>
            </w:r>
          </w:p>
        </w:tc>
        <w:tc>
          <w:tcPr>
            <w:tcW w:w="920" w:type="dxa"/>
            <w:tcBorders/>
            <w:vAlign w:val="center"/>
          </w:tcPr>
          <w:p>
            <w:pPr>
              <w:pStyle w:val="TableContents"/>
              <w:bidi w:val="0"/>
              <w:spacing w:before="0" w:after="140"/>
              <w:jc w:val="start"/>
              <w:rPr/>
            </w:pPr>
            <w:r>
              <w:rPr/>
              <w:t>29 Sep 2026</w:t>
            </w:r>
          </w:p>
        </w:tc>
        <w:tc>
          <w:tcPr>
            <w:tcW w:w="5984" w:type="dxa"/>
            <w:tcBorders/>
            <w:vAlign w:val="center"/>
          </w:tcPr>
          <w:p>
            <w:pPr>
              <w:pStyle w:val="TableContents"/>
              <w:bidi w:val="0"/>
              <w:spacing w:before="0" w:after="140"/>
              <w:jc w:val="start"/>
              <w:rPr/>
            </w:pPr>
            <w:r>
              <w:rPr/>
              <w:t>Initial Part 1 architecture and design.</w:t>
            </w:r>
          </w:p>
        </w:tc>
        <w:tc>
          <w:tcPr>
            <w:tcW w:w="1957" w:type="dxa"/>
            <w:tcBorders/>
            <w:vAlign w:val="center"/>
          </w:tcPr>
          <w:p>
            <w:pPr>
              <w:pStyle w:val="TableContents"/>
              <w:bidi w:val="0"/>
              <w:spacing w:before="0" w:after="140"/>
              <w:jc w:val="start"/>
              <w:rPr/>
            </w:pPr>
            <w:r>
              <w:rPr/>
              <w:t>Mohammed Rizwan Shaikh</w:t>
            </w:r>
          </w:p>
        </w:tc>
      </w:tr>
      <w:tr>
        <w:trPr/>
        <w:tc>
          <w:tcPr>
            <w:tcW w:w="891" w:type="dxa"/>
            <w:tcBorders/>
            <w:vAlign w:val="center"/>
          </w:tcPr>
          <w:p>
            <w:pPr>
              <w:pStyle w:val="TableContents"/>
              <w:bidi w:val="0"/>
              <w:spacing w:before="0" w:after="140"/>
              <w:jc w:val="start"/>
              <w:rPr/>
            </w:pPr>
            <w:r>
              <w:rPr/>
              <w:t>1.1</w:t>
            </w:r>
          </w:p>
        </w:tc>
        <w:tc>
          <w:tcPr>
            <w:tcW w:w="920" w:type="dxa"/>
            <w:tcBorders/>
            <w:vAlign w:val="center"/>
          </w:tcPr>
          <w:p>
            <w:pPr>
              <w:pStyle w:val="TableContents"/>
              <w:bidi w:val="0"/>
              <w:spacing w:before="0" w:after="140"/>
              <w:jc w:val="start"/>
              <w:rPr/>
            </w:pPr>
            <w:r>
              <w:rPr/>
              <w:t>29 Sep 2026</w:t>
            </w:r>
          </w:p>
        </w:tc>
        <w:tc>
          <w:tcPr>
            <w:tcW w:w="5984" w:type="dxa"/>
            <w:tcBorders/>
            <w:vAlign w:val="center"/>
          </w:tcPr>
          <w:p>
            <w:pPr>
              <w:pStyle w:val="TableContents"/>
              <w:bidi w:val="0"/>
              <w:spacing w:before="0" w:after="140"/>
              <w:jc w:val="start"/>
              <w:rPr/>
            </w:pPr>
            <w:r>
              <w:rPr/>
              <w:t>Separated document; corrected UML dependencies and booking-service orchestration; standardized author name.</w:t>
            </w:r>
          </w:p>
        </w:tc>
        <w:tc>
          <w:tcPr>
            <w:tcW w:w="1957" w:type="dxa"/>
            <w:tcBorders/>
            <w:vAlign w:val="center"/>
          </w:tcPr>
          <w:p>
            <w:pPr>
              <w:pStyle w:val="TableContents"/>
              <w:bidi w:val="0"/>
              <w:spacing w:before="0" w:after="140"/>
              <w:jc w:val="start"/>
              <w:rPr/>
            </w:pPr>
            <w:r>
              <w:rPr/>
              <w:t>Team E15 review</w:t>
            </w:r>
          </w:p>
        </w:tc>
      </w:tr>
    </w:tbl>
    <w:p>
      <w:pPr>
        <w:pStyle w:val="BodyText"/>
        <w:keepLines/>
        <w:bidi w:val="0"/>
        <w:spacing w:before="160" w:after="240"/>
        <w:ind w:hanging="0" w:start="160" w:end="160"/>
        <w:rPr/>
      </w:pPr>
      <w:r>
        <w:rPr>
          <w:rStyle w:val="Strong"/>
          <w:bdr w:val="single" w:sz="5" w:space="8" w:color="9CC4D1"/>
          <w:shd w:fill="EDF6F8" w:val="clear"/>
        </w:rPr>
        <w:t>Design authority.</w:t>
      </w:r>
      <w:r>
        <w:rPr>
          <w:bdr w:val="single" w:sz="5" w:space="8" w:color="9CC4D1"/>
          <w:shd w:fill="EDF6F8" w:val="clear"/>
        </w:rPr>
        <w:t xml:space="preserve"> The Booking Service owns booking and cancellation transactions. The REST API authenticates, authorizes, validates and delegates; it does not bypass the domain service to write booking state.</w:t>
      </w:r>
    </w:p>
    <w:p>
      <w:pPr>
        <w:pStyle w:val="Heading1"/>
        <w:keepNext w:val="true"/>
        <w:pBdr>
          <w:bottom w:val="single" w:sz="12" w:space="4" w:color="1F6F8B"/>
        </w:pBdr>
        <w:bidi w:val="0"/>
        <w:spacing w:before="440" w:after="200"/>
        <w:ind w:start="440" w:end="440"/>
        <w:rPr/>
      </w:pPr>
      <w:r>
        <w:rPr/>
        <w:t>Table of Contents</w:t>
      </w:r>
    </w:p>
    <w:p>
      <w:pPr>
        <w:pStyle w:val="BodyText"/>
        <w:numPr>
          <w:ilvl w:val="0"/>
          <w:numId w:val="2"/>
        </w:numPr>
        <w:tabs>
          <w:tab w:val="clear" w:pos="1134"/>
          <w:tab w:val="left" w:pos="709" w:leader="none"/>
        </w:tabs>
        <w:bidi w:val="0"/>
        <w:spacing w:before="0" w:after="0"/>
        <w:ind w:hanging="283" w:start="709"/>
        <w:rPr/>
      </w:pPr>
      <w:hyperlink w:anchor="intro">
        <w:r>
          <w:rPr>
            <w:rStyle w:val="Hyperlink"/>
          </w:rPr>
          <w:t>1. Introduction and Design Goals</w:t>
        </w:r>
      </w:hyperlink>
      <w:r>
        <w:rPr/>
        <w:t xml:space="preserve"> </w:t>
      </w:r>
    </w:p>
    <w:p>
      <w:pPr>
        <w:pStyle w:val="BodyText"/>
        <w:numPr>
          <w:ilvl w:val="0"/>
          <w:numId w:val="2"/>
        </w:numPr>
        <w:tabs>
          <w:tab w:val="clear" w:pos="1134"/>
          <w:tab w:val="left" w:pos="709" w:leader="none"/>
        </w:tabs>
        <w:bidi w:val="0"/>
        <w:spacing w:before="0" w:after="0"/>
        <w:ind w:hanging="283" w:start="709"/>
        <w:rPr/>
      </w:pPr>
      <w:hyperlink w:anchor="architecture">
        <w:r>
          <w:rPr>
            <w:rStyle w:val="Hyperlink"/>
          </w:rPr>
          <w:t>2. Architecture</w:t>
        </w:r>
      </w:hyperlink>
      <w:r>
        <w:rPr/>
        <w:t xml:space="preserve"> </w:t>
      </w:r>
    </w:p>
    <w:p>
      <w:pPr>
        <w:pStyle w:val="BodyText"/>
        <w:numPr>
          <w:ilvl w:val="0"/>
          <w:numId w:val="2"/>
        </w:numPr>
        <w:tabs>
          <w:tab w:val="clear" w:pos="1134"/>
          <w:tab w:val="left" w:pos="709" w:leader="none"/>
        </w:tabs>
        <w:bidi w:val="0"/>
        <w:spacing w:before="0" w:after="0"/>
        <w:ind w:hanging="283" w:start="709"/>
        <w:rPr/>
      </w:pPr>
      <w:hyperlink w:anchor="pattern">
        <w:r>
          <w:rPr>
            <w:rStyle w:val="Hyperlink"/>
          </w:rPr>
          <w:t>2.1 Architectural pattern</w:t>
        </w:r>
      </w:hyperlink>
      <w:r>
        <w:rPr/>
        <w:t xml:space="preserve"> </w:t>
      </w:r>
    </w:p>
    <w:p>
      <w:pPr>
        <w:pStyle w:val="BodyText"/>
        <w:numPr>
          <w:ilvl w:val="0"/>
          <w:numId w:val="2"/>
        </w:numPr>
        <w:tabs>
          <w:tab w:val="clear" w:pos="1134"/>
          <w:tab w:val="left" w:pos="709" w:leader="none"/>
        </w:tabs>
        <w:bidi w:val="0"/>
        <w:spacing w:before="0" w:after="0"/>
        <w:ind w:hanging="283" w:start="709"/>
        <w:rPr/>
      </w:pPr>
      <w:hyperlink w:anchor="components">
        <w:r>
          <w:rPr>
            <w:rStyle w:val="Hyperlink"/>
          </w:rPr>
          <w:t>2.2 Component view and descriptions</w:t>
        </w:r>
      </w:hyperlink>
      <w:r>
        <w:rPr/>
        <w:t xml:space="preserve"> </w:t>
      </w:r>
    </w:p>
    <w:p>
      <w:pPr>
        <w:pStyle w:val="BodyText"/>
        <w:numPr>
          <w:ilvl w:val="0"/>
          <w:numId w:val="2"/>
        </w:numPr>
        <w:tabs>
          <w:tab w:val="clear" w:pos="1134"/>
          <w:tab w:val="left" w:pos="709" w:leader="none"/>
        </w:tabs>
        <w:bidi w:val="0"/>
        <w:spacing w:before="0" w:after="0"/>
        <w:ind w:hanging="283" w:start="709"/>
        <w:rPr/>
      </w:pPr>
      <w:hyperlink w:anchor="data">
        <w:r>
          <w:rPr>
            <w:rStyle w:val="Hyperlink"/>
          </w:rPr>
          <w:t>2.3 Data and deployment view</w:t>
        </w:r>
      </w:hyperlink>
      <w:r>
        <w:rPr/>
        <w:t xml:space="preserve"> </w:t>
      </w:r>
    </w:p>
    <w:p>
      <w:pPr>
        <w:pStyle w:val="BodyText"/>
        <w:numPr>
          <w:ilvl w:val="0"/>
          <w:numId w:val="2"/>
        </w:numPr>
        <w:tabs>
          <w:tab w:val="clear" w:pos="1134"/>
          <w:tab w:val="left" w:pos="709" w:leader="none"/>
        </w:tabs>
        <w:bidi w:val="0"/>
        <w:spacing w:before="0" w:after="0"/>
        <w:ind w:hanging="283" w:start="709"/>
        <w:rPr/>
      </w:pPr>
      <w:hyperlink w:anchor="secarch">
        <w:r>
          <w:rPr>
            <w:rStyle w:val="Hyperlink"/>
          </w:rPr>
          <w:t>2.4 Security architecture</w:t>
        </w:r>
      </w:hyperlink>
      <w:r>
        <w:rPr/>
        <w:t xml:space="preserve"> </w:t>
      </w:r>
    </w:p>
    <w:p>
      <w:pPr>
        <w:pStyle w:val="BodyText"/>
        <w:numPr>
          <w:ilvl w:val="0"/>
          <w:numId w:val="2"/>
        </w:numPr>
        <w:tabs>
          <w:tab w:val="clear" w:pos="1134"/>
          <w:tab w:val="left" w:pos="709" w:leader="none"/>
        </w:tabs>
        <w:bidi w:val="0"/>
        <w:spacing w:before="0" w:after="0"/>
        <w:ind w:hanging="283" w:start="709"/>
        <w:rPr/>
      </w:pPr>
      <w:hyperlink w:anchor="archtrace">
        <w:r>
          <w:rPr>
            <w:rStyle w:val="Hyperlink"/>
          </w:rPr>
          <w:t>2.5 Architecture traceability</w:t>
        </w:r>
      </w:hyperlink>
      <w:r>
        <w:rPr/>
        <w:t xml:space="preserve"> </w:t>
      </w:r>
    </w:p>
    <w:p>
      <w:pPr>
        <w:pStyle w:val="BodyText"/>
        <w:numPr>
          <w:ilvl w:val="0"/>
          <w:numId w:val="2"/>
        </w:numPr>
        <w:tabs>
          <w:tab w:val="clear" w:pos="1134"/>
          <w:tab w:val="left" w:pos="709" w:leader="none"/>
        </w:tabs>
        <w:bidi w:val="0"/>
        <w:spacing w:before="0" w:after="0"/>
        <w:ind w:hanging="283" w:start="709"/>
        <w:rPr/>
      </w:pPr>
      <w:hyperlink w:anchor="design">
        <w:r>
          <w:rPr>
            <w:rStyle w:val="Hyperlink"/>
          </w:rPr>
          <w:t>3. Detailed Design</w:t>
        </w:r>
      </w:hyperlink>
      <w:r>
        <w:rPr/>
        <w:t xml:space="preserve"> </w:t>
      </w:r>
    </w:p>
    <w:p>
      <w:pPr>
        <w:pStyle w:val="BodyText"/>
        <w:numPr>
          <w:ilvl w:val="0"/>
          <w:numId w:val="2"/>
        </w:numPr>
        <w:tabs>
          <w:tab w:val="clear" w:pos="1134"/>
          <w:tab w:val="left" w:pos="709" w:leader="none"/>
        </w:tabs>
        <w:bidi w:val="0"/>
        <w:spacing w:before="0" w:after="0"/>
        <w:ind w:hanging="283" w:start="709"/>
        <w:rPr/>
      </w:pPr>
      <w:hyperlink w:anchor="bookingseq">
        <w:r>
          <w:rPr>
            <w:rStyle w:val="Hyperlink"/>
          </w:rPr>
          <w:t>3.1 Booking sequence</w:t>
        </w:r>
      </w:hyperlink>
      <w:r>
        <w:rPr/>
        <w:t xml:space="preserve"> </w:t>
      </w:r>
    </w:p>
    <w:p>
      <w:pPr>
        <w:pStyle w:val="BodyText"/>
        <w:numPr>
          <w:ilvl w:val="0"/>
          <w:numId w:val="2"/>
        </w:numPr>
        <w:tabs>
          <w:tab w:val="clear" w:pos="1134"/>
          <w:tab w:val="left" w:pos="709" w:leader="none"/>
        </w:tabs>
        <w:bidi w:val="0"/>
        <w:spacing w:before="0" w:after="0"/>
        <w:ind w:hanging="283" w:start="709"/>
        <w:rPr/>
      </w:pPr>
      <w:hyperlink w:anchor="cancelseq">
        <w:r>
          <w:rPr>
            <w:rStyle w:val="Hyperlink"/>
          </w:rPr>
          <w:t>3.2 Cancellation sequence</w:t>
        </w:r>
      </w:hyperlink>
      <w:r>
        <w:rPr/>
        <w:t xml:space="preserve"> </w:t>
      </w:r>
    </w:p>
    <w:p>
      <w:pPr>
        <w:pStyle w:val="BodyText"/>
        <w:numPr>
          <w:ilvl w:val="0"/>
          <w:numId w:val="2"/>
        </w:numPr>
        <w:tabs>
          <w:tab w:val="clear" w:pos="1134"/>
          <w:tab w:val="left" w:pos="709" w:leader="none"/>
        </w:tabs>
        <w:bidi w:val="0"/>
        <w:spacing w:before="0" w:after="0"/>
        <w:ind w:hanging="283" w:start="709"/>
        <w:rPr/>
      </w:pPr>
      <w:hyperlink w:anchor="api">
        <w:r>
          <w:rPr>
            <w:rStyle w:val="Hyperlink"/>
          </w:rPr>
          <w:t>3.3 API design</w:t>
        </w:r>
      </w:hyperlink>
      <w:r>
        <w:rPr/>
        <w:t xml:space="preserve"> </w:t>
      </w:r>
    </w:p>
    <w:p>
      <w:pPr>
        <w:pStyle w:val="BodyText"/>
        <w:numPr>
          <w:ilvl w:val="0"/>
          <w:numId w:val="2"/>
        </w:numPr>
        <w:tabs>
          <w:tab w:val="clear" w:pos="1134"/>
          <w:tab w:val="left" w:pos="709" w:leader="none"/>
        </w:tabs>
        <w:bidi w:val="0"/>
        <w:spacing w:before="0" w:after="0"/>
        <w:ind w:hanging="283" w:start="709"/>
        <w:rPr/>
      </w:pPr>
      <w:hyperlink w:anchor="errors">
        <w:r>
          <w:rPr>
            <w:rStyle w:val="Hyperlink"/>
          </w:rPr>
          <w:t>3.4 Error handling and state rules</w:t>
        </w:r>
      </w:hyperlink>
      <w:r>
        <w:rPr/>
        <w:t xml:space="preserve"> </w:t>
      </w:r>
    </w:p>
    <w:p>
      <w:pPr>
        <w:pStyle w:val="BodyText"/>
        <w:numPr>
          <w:ilvl w:val="0"/>
          <w:numId w:val="2"/>
        </w:numPr>
        <w:tabs>
          <w:tab w:val="clear" w:pos="1134"/>
          <w:tab w:val="left" w:pos="709" w:leader="none"/>
        </w:tabs>
        <w:bidi w:val="0"/>
        <w:spacing w:before="0" w:after="0"/>
        <w:ind w:hanging="283" w:start="709"/>
        <w:rPr/>
      </w:pPr>
      <w:hyperlink w:anchor="verification">
        <w:r>
          <w:rPr>
            <w:rStyle w:val="Hyperlink"/>
          </w:rPr>
          <w:t>3.5 Design verification</w:t>
        </w:r>
      </w:hyperlink>
      <w:r>
        <w:rPr/>
        <w:t xml:space="preserve"> </w:t>
      </w:r>
    </w:p>
    <w:p>
      <w:pPr>
        <w:pStyle w:val="BodyText"/>
        <w:numPr>
          <w:ilvl w:val="0"/>
          <w:numId w:val="2"/>
        </w:numPr>
        <w:tabs>
          <w:tab w:val="clear" w:pos="1134"/>
          <w:tab w:val="left" w:pos="709" w:leader="none"/>
        </w:tabs>
        <w:bidi w:val="0"/>
        <w:ind w:hanging="283" w:start="709"/>
        <w:rPr/>
      </w:pPr>
      <w:hyperlink w:anchor="change">
        <w:r>
          <w:rPr>
            <w:rStyle w:val="Hyperlink"/>
          </w:rPr>
          <w:t>4. References and Change Control</w:t>
        </w:r>
      </w:hyperlink>
      <w:r>
        <w:rPr/>
        <w:t xml:space="preserve"> </w:t>
      </w:r>
    </w:p>
    <w:p>
      <w:pPr>
        <w:pStyle w:val="Heading1"/>
        <w:bidi w:val="0"/>
        <w:ind w:hanging="0" w:start="0" w:end="0"/>
        <w:rPr/>
      </w:pPr>
      <w:bookmarkStart w:id="0" w:name="intro"/>
      <w:bookmarkEnd w:id="0"/>
      <w:r>
        <w:rPr/>
        <w:t>1. Introduction and Design Goals</w:t>
      </w:r>
    </w:p>
    <w:p>
      <w:pPr>
        <w:pStyle w:val="BodyText"/>
        <w:bidi w:val="0"/>
        <w:spacing w:before="0" w:after="140"/>
        <w:rPr/>
      </w:pPr>
      <w:r>
        <w:rPr/>
        <w:t>This document defines the architecture and detailed design for the Railway Reservation System described by the SRS. The design uses a browser client, REST API, domain services, relational database and deterministic payment simulator.</w:t>
      </w:r>
    </w:p>
    <w:p>
      <w:pPr>
        <w:pStyle w:val="Heading2"/>
        <w:keepNext w:val="true"/>
        <w:numPr>
          <w:ilvl w:val="0"/>
          <w:numId w:val="0"/>
        </w:numPr>
        <w:bidi w:val="0"/>
        <w:spacing w:before="340" w:after="140"/>
        <w:ind w:start="340" w:end="340"/>
        <w:rPr/>
      </w:pPr>
      <w:r>
        <w:rPr/>
        <w:t>1.1 Design Goals</w:t>
      </w:r>
    </w:p>
    <w:p>
      <w:pPr>
        <w:pStyle w:val="BodyText"/>
        <w:numPr>
          <w:ilvl w:val="0"/>
          <w:numId w:val="3"/>
        </w:numPr>
        <w:tabs>
          <w:tab w:val="clear" w:pos="1134"/>
          <w:tab w:val="left" w:pos="709" w:leader="none"/>
        </w:tabs>
        <w:bidi w:val="0"/>
        <w:spacing w:before="0" w:after="0"/>
        <w:ind w:hanging="283" w:start="709"/>
        <w:rPr/>
      </w:pPr>
      <w:r>
        <w:rPr/>
        <w:t xml:space="preserve">Preserve one confirmed booking for one successful idempotent request. </w:t>
      </w:r>
    </w:p>
    <w:p>
      <w:pPr>
        <w:pStyle w:val="BodyText"/>
        <w:numPr>
          <w:ilvl w:val="0"/>
          <w:numId w:val="3"/>
        </w:numPr>
        <w:tabs>
          <w:tab w:val="clear" w:pos="1134"/>
          <w:tab w:val="left" w:pos="709" w:leader="none"/>
        </w:tabs>
        <w:bidi w:val="0"/>
        <w:spacing w:before="0" w:after="0"/>
        <w:ind w:hanging="283" w:start="709"/>
        <w:rPr/>
      </w:pPr>
      <w:r>
        <w:rPr/>
        <w:t xml:space="preserve">Prevent double allocation and negative seat availability under concurrency. </w:t>
      </w:r>
    </w:p>
    <w:p>
      <w:pPr>
        <w:pStyle w:val="BodyText"/>
        <w:numPr>
          <w:ilvl w:val="0"/>
          <w:numId w:val="3"/>
        </w:numPr>
        <w:tabs>
          <w:tab w:val="clear" w:pos="1134"/>
          <w:tab w:val="left" w:pos="709" w:leader="none"/>
        </w:tabs>
        <w:bidi w:val="0"/>
        <w:spacing w:before="0" w:after="0"/>
        <w:ind w:hanging="283" w:start="709"/>
        <w:rPr/>
      </w:pPr>
      <w:r>
        <w:rPr/>
        <w:t xml:space="preserve">Enforce role and booking ownership on the server, independent of the UI. </w:t>
      </w:r>
    </w:p>
    <w:p>
      <w:pPr>
        <w:pStyle w:val="BodyText"/>
        <w:numPr>
          <w:ilvl w:val="0"/>
          <w:numId w:val="3"/>
        </w:numPr>
        <w:tabs>
          <w:tab w:val="clear" w:pos="1134"/>
          <w:tab w:val="left" w:pos="709" w:leader="none"/>
        </w:tabs>
        <w:bidi w:val="0"/>
        <w:spacing w:before="0" w:after="0"/>
        <w:ind w:hanging="283" w:start="709"/>
        <w:rPr/>
      </w:pPr>
      <w:r>
        <w:rPr/>
        <w:t xml:space="preserve">Keep security-sensitive operations auditable without recording secrets. </w:t>
      </w:r>
    </w:p>
    <w:p>
      <w:pPr>
        <w:pStyle w:val="BodyText"/>
        <w:numPr>
          <w:ilvl w:val="0"/>
          <w:numId w:val="3"/>
        </w:numPr>
        <w:tabs>
          <w:tab w:val="clear" w:pos="1134"/>
          <w:tab w:val="left" w:pos="709" w:leader="none"/>
        </w:tabs>
        <w:bidi w:val="0"/>
        <w:ind w:hanging="283" w:start="709"/>
        <w:rPr/>
      </w:pPr>
      <w:r>
        <w:rPr/>
        <w:t xml:space="preserve">Separate presentation, API, domain and persistence responsibilities. </w:t>
      </w:r>
    </w:p>
    <w:p>
      <w:pPr>
        <w:pStyle w:val="Heading2"/>
        <w:keepNext w:val="true"/>
        <w:numPr>
          <w:ilvl w:val="0"/>
          <w:numId w:val="0"/>
        </w:numPr>
        <w:bidi w:val="0"/>
        <w:spacing w:before="340" w:after="140"/>
        <w:ind w:start="340" w:end="340"/>
        <w:rPr/>
      </w:pPr>
      <w:r>
        <w:rPr/>
        <w:t>1.2 Scope and Constraints</w:t>
      </w:r>
    </w:p>
    <w:p>
      <w:pPr>
        <w:pStyle w:val="BodyText"/>
        <w:bidi w:val="0"/>
        <w:spacing w:before="0" w:after="140"/>
        <w:rPr/>
      </w:pPr>
      <w:r>
        <w:rPr/>
        <w:t>The design covers the Part 1 prototype and simulated payment/refund behavior. It does not define a production payment gateway, live railway integration or wait-list allocation. All components must preserve the requirement identifiers defined in the SRS.</w:t>
      </w:r>
    </w:p>
    <w:p>
      <w:pPr>
        <w:pStyle w:val="Heading1"/>
        <w:bidi w:val="0"/>
        <w:ind w:hanging="0" w:start="0" w:end="0"/>
        <w:rPr/>
      </w:pPr>
      <w:bookmarkStart w:id="1" w:name="architecture"/>
      <w:bookmarkEnd w:id="1"/>
      <w:r>
        <w:rPr/>
        <w:t>2. Architecture</w:t>
      </w:r>
    </w:p>
    <w:p>
      <w:pPr>
        <w:pStyle w:val="Heading2"/>
        <w:bidi w:val="0"/>
        <w:ind w:hanging="0" w:start="0" w:end="0"/>
        <w:rPr/>
      </w:pPr>
      <w:bookmarkStart w:id="2" w:name="pattern"/>
      <w:bookmarkEnd w:id="2"/>
      <w:r>
        <w:rPr/>
        <w:t>2.1 Architectural Pattern</w:t>
      </w:r>
    </w:p>
    <w:p>
      <w:pPr>
        <w:pStyle w:val="BodyText"/>
        <w:bidi w:val="0"/>
        <w:spacing w:before="0" w:after="140"/>
        <w:rPr/>
      </w:pPr>
      <w:r>
        <w:rPr/>
        <w:t>A layered client–server pattern separates the Web UI, REST API/authorization boundary, domain services and persistence. The browser never accesses the database directly. Domain services own business state transitions. The payment simulator is isolated behind an adapter so it can later be replaced without changing passenger workflows.</w:t>
      </w:r>
    </w:p>
    <w:p>
      <w:pPr>
        <w:pStyle w:val="BodyText"/>
        <w:keepLines/>
        <w:bidi w:val="0"/>
        <w:spacing w:before="160" w:after="240"/>
        <w:ind w:hanging="0" w:start="160" w:end="160"/>
        <w:rPr/>
      </w:pPr>
      <w:r>
        <w:rPr>
          <w:rStyle w:val="Strong"/>
          <w:bdr w:val="single" w:sz="5" w:space="8" w:color="9CC4D1"/>
          <w:shd w:fill="EDF6F8" w:val="clear"/>
        </w:rPr>
        <w:t>Transaction boundary.</w:t>
      </w:r>
      <w:r>
        <w:rPr>
          <w:bdr w:val="single" w:sz="5" w:space="8" w:color="9CC4D1"/>
          <w:shd w:fill="EDF6F8" w:val="clear"/>
        </w:rPr>
        <w:t xml:space="preserve"> Seat locking, payment outcome handling, booking confirmation and idempotency are coordinated by the Booking Service. Database uniqueness constraints remain the final concurrency guard.</w:t>
      </w:r>
    </w:p>
    <w:p>
      <w:pPr>
        <w:pStyle w:val="Heading2"/>
        <w:bidi w:val="0"/>
        <w:ind w:hanging="0" w:start="0" w:end="0"/>
        <w:rPr/>
      </w:pPr>
      <w:bookmarkStart w:id="3" w:name="components"/>
      <w:bookmarkEnd w:id="3"/>
      <w:r>
        <w:rPr/>
        <w:t>2.2 Component View and Descriptions</w:t>
      </w:r>
    </w:p>
    <w:p>
      <w:pPr>
        <w:pStyle w:val="BodyText"/>
        <w:bidi w:val="0"/>
        <w:spacing w:before="0" w:after="0"/>
        <w:rPr/>
      </w:pPr>
      <w:r>
        <w:rPr/>
        <w:drawing>
          <wp:inline distT="0" distB="0" distL="0" distR="0">
            <wp:extent cx="17145000" cy="10858500"/>
            <wp:effectExtent l="0" t="0" r="0" b="0"/>
            <wp:docPr id="1" name="Image1" title="UML component diagram for the layered Railway Reservation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title="UML component diagram for the layered Railway Reservation System"/>
                    <pic:cNvPicPr>
                      <a:picLocks noChangeAspect="1" noChangeArrowheads="1"/>
                    </pic:cNvPicPr>
                  </pic:nvPicPr>
                  <pic:blipFill>
                    <a:blip r:embed="rId2"/>
                    <a:stretch>
                      <a:fillRect/>
                    </a:stretch>
                  </pic:blipFill>
                  <pic:spPr bwMode="auto">
                    <a:xfrm>
                      <a:off x="0" y="0"/>
                      <a:ext cx="17145000" cy="10858500"/>
                    </a:xfrm>
                    <a:prstGeom prst="rect">
                      <a:avLst/>
                    </a:prstGeom>
                    <a:noFill/>
                  </pic:spPr>
                </pic:pic>
              </a:graphicData>
            </a:graphic>
          </wp:inline>
        </w:drawing>
      </w:r>
      <w:r>
        <w:rPr/>
        <w:t xml:space="preserve"> </w:t>
      </w:r>
      <w:r>
        <w:rPr/>
        <w:t xml:space="preserve">Figure 1. Layered component dependencies and protected database boundary. </w:t>
      </w:r>
    </w:p>
    <w:tbl>
      <w:tblPr>
        <w:tblW w:w="9752" w:type="dxa"/>
        <w:jc w:val="start"/>
        <w:tblInd w:w="0" w:type="dxa"/>
        <w:tblLayout w:type="fixed"/>
        <w:tblCellMar>
          <w:top w:w="28" w:type="dxa"/>
          <w:start w:w="28" w:type="dxa"/>
          <w:bottom w:w="28" w:type="dxa"/>
          <w:end w:w="28" w:type="dxa"/>
        </w:tblCellMar>
      </w:tblPr>
      <w:tblGrid>
        <w:gridCol w:w="1903"/>
        <w:gridCol w:w="5718"/>
        <w:gridCol w:w="2131"/>
      </w:tblGrid>
      <w:tr>
        <w:trPr/>
        <w:tc>
          <w:tcPr>
            <w:tcW w:w="1903" w:type="dxa"/>
            <w:tcBorders/>
            <w:vAlign w:val="center"/>
          </w:tcPr>
          <w:p>
            <w:pPr>
              <w:pStyle w:val="TableHeading"/>
              <w:suppressLineNumbers/>
              <w:bidi w:val="0"/>
              <w:spacing w:before="0" w:after="140"/>
              <w:jc w:val="start"/>
              <w:rPr/>
            </w:pPr>
            <w:r>
              <w:rPr/>
              <w:t>Component</w:t>
            </w:r>
          </w:p>
        </w:tc>
        <w:tc>
          <w:tcPr>
            <w:tcW w:w="5718" w:type="dxa"/>
            <w:tcBorders/>
            <w:vAlign w:val="center"/>
          </w:tcPr>
          <w:p>
            <w:pPr>
              <w:pStyle w:val="TableHeading"/>
              <w:suppressLineNumbers/>
              <w:bidi w:val="0"/>
              <w:spacing w:before="0" w:after="140"/>
              <w:jc w:val="start"/>
              <w:rPr/>
            </w:pPr>
            <w:r>
              <w:rPr/>
              <w:t>Responsibilities</w:t>
            </w:r>
          </w:p>
        </w:tc>
        <w:tc>
          <w:tcPr>
            <w:tcW w:w="2131" w:type="dxa"/>
            <w:tcBorders/>
            <w:vAlign w:val="center"/>
          </w:tcPr>
          <w:p>
            <w:pPr>
              <w:pStyle w:val="TableHeading"/>
              <w:suppressLineNumbers/>
              <w:bidi w:val="0"/>
              <w:spacing w:before="0" w:after="140"/>
              <w:jc w:val="start"/>
              <w:rPr/>
            </w:pPr>
            <w:r>
              <w:rPr/>
              <w:t>Primary requirements</w:t>
            </w:r>
          </w:p>
        </w:tc>
      </w:tr>
      <w:tr>
        <w:trPr/>
        <w:tc>
          <w:tcPr>
            <w:tcW w:w="1903" w:type="dxa"/>
            <w:tcBorders/>
            <w:vAlign w:val="center"/>
          </w:tcPr>
          <w:p>
            <w:pPr>
              <w:pStyle w:val="TableContents"/>
              <w:bidi w:val="0"/>
              <w:spacing w:before="0" w:after="140"/>
              <w:jc w:val="start"/>
              <w:rPr/>
            </w:pPr>
            <w:r>
              <w:rPr/>
              <w:t>Web UI</w:t>
            </w:r>
          </w:p>
        </w:tc>
        <w:tc>
          <w:tcPr>
            <w:tcW w:w="5718" w:type="dxa"/>
            <w:tcBorders/>
            <w:vAlign w:val="center"/>
          </w:tcPr>
          <w:p>
            <w:pPr>
              <w:pStyle w:val="TableContents"/>
              <w:bidi w:val="0"/>
              <w:spacing w:before="0" w:after="140"/>
              <w:jc w:val="start"/>
              <w:rPr/>
            </w:pPr>
            <w:r>
              <w:rPr/>
              <w:t>Collect inputs, expose accessible controls, display state and validation, call only the REST API.</w:t>
            </w:r>
          </w:p>
        </w:tc>
        <w:tc>
          <w:tcPr>
            <w:tcW w:w="2131" w:type="dxa"/>
            <w:tcBorders/>
            <w:vAlign w:val="center"/>
          </w:tcPr>
          <w:p>
            <w:pPr>
              <w:pStyle w:val="TableContents"/>
              <w:bidi w:val="0"/>
              <w:spacing w:before="0" w:after="140"/>
              <w:jc w:val="start"/>
              <w:rPr/>
            </w:pPr>
            <w:r>
              <w:rPr/>
              <w:t>NFR-05–06</w:t>
            </w:r>
          </w:p>
        </w:tc>
      </w:tr>
      <w:tr>
        <w:trPr/>
        <w:tc>
          <w:tcPr>
            <w:tcW w:w="1903" w:type="dxa"/>
            <w:tcBorders/>
            <w:vAlign w:val="center"/>
          </w:tcPr>
          <w:p>
            <w:pPr>
              <w:pStyle w:val="TableContents"/>
              <w:bidi w:val="0"/>
              <w:spacing w:before="0" w:after="140"/>
              <w:jc w:val="start"/>
              <w:rPr/>
            </w:pPr>
            <w:r>
              <w:rPr/>
              <w:t>REST API / Authorization</w:t>
            </w:r>
          </w:p>
        </w:tc>
        <w:tc>
          <w:tcPr>
            <w:tcW w:w="5718" w:type="dxa"/>
            <w:tcBorders/>
            <w:vAlign w:val="center"/>
          </w:tcPr>
          <w:p>
            <w:pPr>
              <w:pStyle w:val="TableContents"/>
              <w:bidi w:val="0"/>
              <w:spacing w:before="0" w:after="140"/>
              <w:jc w:val="start"/>
              <w:rPr/>
            </w:pPr>
            <w:r>
              <w:rPr/>
              <w:t>Authenticate requests, validate payloads, enforce roles and ownership, route to domain services, assign request IDs.</w:t>
            </w:r>
          </w:p>
        </w:tc>
        <w:tc>
          <w:tcPr>
            <w:tcW w:w="2131" w:type="dxa"/>
            <w:tcBorders/>
            <w:vAlign w:val="center"/>
          </w:tcPr>
          <w:p>
            <w:pPr>
              <w:pStyle w:val="TableContents"/>
              <w:bidi w:val="0"/>
              <w:spacing w:before="0" w:after="140"/>
              <w:jc w:val="start"/>
              <w:rPr/>
            </w:pPr>
            <w:r>
              <w:rPr/>
              <w:t>FR-02, SEC-01, SEC-03</w:t>
            </w:r>
          </w:p>
        </w:tc>
      </w:tr>
      <w:tr>
        <w:trPr/>
        <w:tc>
          <w:tcPr>
            <w:tcW w:w="1903" w:type="dxa"/>
            <w:tcBorders/>
            <w:vAlign w:val="center"/>
          </w:tcPr>
          <w:p>
            <w:pPr>
              <w:pStyle w:val="TableContents"/>
              <w:bidi w:val="0"/>
              <w:spacing w:before="0" w:after="140"/>
              <w:jc w:val="start"/>
              <w:rPr/>
            </w:pPr>
            <w:r>
              <w:rPr/>
              <w:t>Auth Service</w:t>
            </w:r>
          </w:p>
        </w:tc>
        <w:tc>
          <w:tcPr>
            <w:tcW w:w="5718" w:type="dxa"/>
            <w:tcBorders/>
            <w:vAlign w:val="center"/>
          </w:tcPr>
          <w:p>
            <w:pPr>
              <w:pStyle w:val="TableContents"/>
              <w:bidi w:val="0"/>
              <w:spacing w:before="0" w:after="140"/>
              <w:jc w:val="start"/>
              <w:rPr/>
            </w:pPr>
            <w:r>
              <w:rPr/>
              <w:t>Registration, adaptive password hashing, credential verification, session expiry and lockout.</w:t>
            </w:r>
          </w:p>
        </w:tc>
        <w:tc>
          <w:tcPr>
            <w:tcW w:w="2131" w:type="dxa"/>
            <w:tcBorders/>
            <w:vAlign w:val="center"/>
          </w:tcPr>
          <w:p>
            <w:pPr>
              <w:pStyle w:val="TableContents"/>
              <w:bidi w:val="0"/>
              <w:spacing w:before="0" w:after="140"/>
              <w:jc w:val="start"/>
              <w:rPr/>
            </w:pPr>
            <w:r>
              <w:rPr/>
              <w:t>FR-01–02, SEC-02–04</w:t>
            </w:r>
          </w:p>
        </w:tc>
      </w:tr>
      <w:tr>
        <w:trPr/>
        <w:tc>
          <w:tcPr>
            <w:tcW w:w="1903" w:type="dxa"/>
            <w:tcBorders/>
            <w:vAlign w:val="center"/>
          </w:tcPr>
          <w:p>
            <w:pPr>
              <w:pStyle w:val="TableContents"/>
              <w:bidi w:val="0"/>
              <w:spacing w:before="0" w:after="140"/>
              <w:jc w:val="start"/>
              <w:rPr/>
            </w:pPr>
            <w:r>
              <w:rPr/>
              <w:t>Train Search</w:t>
            </w:r>
          </w:p>
        </w:tc>
        <w:tc>
          <w:tcPr>
            <w:tcW w:w="5718" w:type="dxa"/>
            <w:tcBorders/>
            <w:vAlign w:val="center"/>
          </w:tcPr>
          <w:p>
            <w:pPr>
              <w:pStyle w:val="TableContents"/>
              <w:bidi w:val="0"/>
              <w:spacing w:before="0" w:after="140"/>
              <w:jc w:val="start"/>
              <w:rPr/>
            </w:pPr>
            <w:r>
              <w:rPr/>
              <w:t>Match route/date filters, order departures and calculate valid availability.</w:t>
            </w:r>
          </w:p>
        </w:tc>
        <w:tc>
          <w:tcPr>
            <w:tcW w:w="2131" w:type="dxa"/>
            <w:tcBorders/>
            <w:vAlign w:val="center"/>
          </w:tcPr>
          <w:p>
            <w:pPr>
              <w:pStyle w:val="TableContents"/>
              <w:bidi w:val="0"/>
              <w:spacing w:before="0" w:after="140"/>
              <w:jc w:val="start"/>
              <w:rPr/>
            </w:pPr>
            <w:r>
              <w:rPr/>
              <w:t>FR-03–04, NFR-01</w:t>
            </w:r>
          </w:p>
        </w:tc>
      </w:tr>
      <w:tr>
        <w:trPr/>
        <w:tc>
          <w:tcPr>
            <w:tcW w:w="1903" w:type="dxa"/>
            <w:tcBorders/>
            <w:vAlign w:val="center"/>
          </w:tcPr>
          <w:p>
            <w:pPr>
              <w:pStyle w:val="TableContents"/>
              <w:bidi w:val="0"/>
              <w:spacing w:before="0" w:after="140"/>
              <w:jc w:val="start"/>
              <w:rPr/>
            </w:pPr>
            <w:r>
              <w:rPr/>
              <w:t>Booking Service</w:t>
            </w:r>
          </w:p>
        </w:tc>
        <w:tc>
          <w:tcPr>
            <w:tcW w:w="5718" w:type="dxa"/>
            <w:tcBorders/>
            <w:vAlign w:val="center"/>
          </w:tcPr>
          <w:p>
            <w:pPr>
              <w:pStyle w:val="TableContents"/>
              <w:bidi w:val="0"/>
              <w:spacing w:before="0" w:after="140"/>
              <w:jc w:val="start"/>
              <w:rPr/>
            </w:pPr>
            <w:r>
              <w:rPr/>
              <w:t>Seat holds, idempotent confirmation, PNR generation, cancellation, refund status and booking audit.</w:t>
            </w:r>
          </w:p>
        </w:tc>
        <w:tc>
          <w:tcPr>
            <w:tcW w:w="2131" w:type="dxa"/>
            <w:tcBorders/>
            <w:vAlign w:val="center"/>
          </w:tcPr>
          <w:p>
            <w:pPr>
              <w:pStyle w:val="TableContents"/>
              <w:bidi w:val="0"/>
              <w:spacing w:before="0" w:after="140"/>
              <w:jc w:val="start"/>
              <w:rPr/>
            </w:pPr>
            <w:r>
              <w:rPr/>
              <w:t>FR-05–07, FR-09, NFR-02–04</w:t>
            </w:r>
          </w:p>
        </w:tc>
      </w:tr>
      <w:tr>
        <w:trPr/>
        <w:tc>
          <w:tcPr>
            <w:tcW w:w="1903" w:type="dxa"/>
            <w:tcBorders/>
            <w:vAlign w:val="center"/>
          </w:tcPr>
          <w:p>
            <w:pPr>
              <w:pStyle w:val="TableContents"/>
              <w:bidi w:val="0"/>
              <w:spacing w:before="0" w:after="140"/>
              <w:jc w:val="start"/>
              <w:rPr/>
            </w:pPr>
            <w:r>
              <w:rPr/>
              <w:t>Admin Service</w:t>
            </w:r>
          </w:p>
        </w:tc>
        <w:tc>
          <w:tcPr>
            <w:tcW w:w="5718" w:type="dxa"/>
            <w:tcBorders/>
            <w:vAlign w:val="center"/>
          </w:tcPr>
          <w:p>
            <w:pPr>
              <w:pStyle w:val="TableContents"/>
              <w:bidi w:val="0"/>
              <w:spacing w:before="0" w:after="140"/>
              <w:jc w:val="start"/>
              <w:rPr/>
            </w:pPr>
            <w:r>
              <w:rPr/>
              <w:t>Create, edit and disable trips/capacity and append administrative audit events.</w:t>
            </w:r>
          </w:p>
        </w:tc>
        <w:tc>
          <w:tcPr>
            <w:tcW w:w="2131" w:type="dxa"/>
            <w:tcBorders/>
            <w:vAlign w:val="center"/>
          </w:tcPr>
          <w:p>
            <w:pPr>
              <w:pStyle w:val="TableContents"/>
              <w:bidi w:val="0"/>
              <w:spacing w:before="0" w:after="140"/>
              <w:jc w:val="start"/>
              <w:rPr/>
            </w:pPr>
            <w:r>
              <w:rPr/>
              <w:t>FR-08–09</w:t>
            </w:r>
          </w:p>
        </w:tc>
      </w:tr>
      <w:tr>
        <w:trPr/>
        <w:tc>
          <w:tcPr>
            <w:tcW w:w="1903" w:type="dxa"/>
            <w:tcBorders/>
            <w:vAlign w:val="center"/>
          </w:tcPr>
          <w:p>
            <w:pPr>
              <w:pStyle w:val="TableContents"/>
              <w:bidi w:val="0"/>
              <w:spacing w:before="0" w:after="140"/>
              <w:jc w:val="start"/>
              <w:rPr/>
            </w:pPr>
            <w:r>
              <w:rPr/>
              <w:t>Payment Simulator</w:t>
            </w:r>
          </w:p>
        </w:tc>
        <w:tc>
          <w:tcPr>
            <w:tcW w:w="5718" w:type="dxa"/>
            <w:tcBorders/>
            <w:vAlign w:val="center"/>
          </w:tcPr>
          <w:p>
            <w:pPr>
              <w:pStyle w:val="TableContents"/>
              <w:bidi w:val="0"/>
              <w:spacing w:before="0" w:after="140"/>
              <w:jc w:val="start"/>
              <w:rPr/>
            </w:pPr>
            <w:r>
              <w:rPr/>
              <w:t>Return deterministic authorization/refund outcomes and references for testing.</w:t>
            </w:r>
          </w:p>
        </w:tc>
        <w:tc>
          <w:tcPr>
            <w:tcW w:w="2131" w:type="dxa"/>
            <w:tcBorders/>
            <w:vAlign w:val="center"/>
          </w:tcPr>
          <w:p>
            <w:pPr>
              <w:pStyle w:val="TableContents"/>
              <w:bidi w:val="0"/>
              <w:spacing w:before="0" w:after="140"/>
              <w:jc w:val="start"/>
              <w:rPr/>
            </w:pPr>
            <w:r>
              <w:rPr/>
              <w:t>FR-05, FR-07</w:t>
            </w:r>
          </w:p>
        </w:tc>
      </w:tr>
      <w:tr>
        <w:trPr/>
        <w:tc>
          <w:tcPr>
            <w:tcW w:w="1903" w:type="dxa"/>
            <w:tcBorders/>
            <w:vAlign w:val="center"/>
          </w:tcPr>
          <w:p>
            <w:pPr>
              <w:pStyle w:val="TableContents"/>
              <w:bidi w:val="0"/>
              <w:spacing w:before="0" w:after="140"/>
              <w:jc w:val="start"/>
              <w:rPr/>
            </w:pPr>
            <w:r>
              <w:rPr/>
              <w:t>Relational Database</w:t>
            </w:r>
          </w:p>
        </w:tc>
        <w:tc>
          <w:tcPr>
            <w:tcW w:w="5718" w:type="dxa"/>
            <w:tcBorders/>
            <w:vAlign w:val="center"/>
          </w:tcPr>
          <w:p>
            <w:pPr>
              <w:pStyle w:val="TableContents"/>
              <w:bidi w:val="0"/>
              <w:spacing w:before="0" w:after="140"/>
              <w:jc w:val="start"/>
              <w:rPr/>
            </w:pPr>
            <w:r>
              <w:rPr/>
              <w:t>Persist state; enforce unique email/PNR/idempotency/seat allocation and transactional integrity.</w:t>
            </w:r>
          </w:p>
        </w:tc>
        <w:tc>
          <w:tcPr>
            <w:tcW w:w="2131" w:type="dxa"/>
            <w:tcBorders/>
            <w:vAlign w:val="center"/>
          </w:tcPr>
          <w:p>
            <w:pPr>
              <w:pStyle w:val="TableContents"/>
              <w:bidi w:val="0"/>
              <w:spacing w:before="0" w:after="140"/>
              <w:jc w:val="start"/>
              <w:rPr/>
            </w:pPr>
            <w:r>
              <w:rPr/>
              <w:t>FR-01, FR-04–09, NFR-03–04</w:t>
            </w:r>
          </w:p>
        </w:tc>
      </w:tr>
    </w:tbl>
    <w:p>
      <w:pPr>
        <w:pStyle w:val="Heading2"/>
        <w:bidi w:val="0"/>
        <w:ind w:hanging="0" w:start="0" w:end="0"/>
        <w:rPr/>
      </w:pPr>
      <w:bookmarkStart w:id="4" w:name="data"/>
      <w:bookmarkEnd w:id="4"/>
      <w:r>
        <w:rPr/>
        <w:t>2.3 Data and Deployment View</w:t>
      </w:r>
    </w:p>
    <w:tbl>
      <w:tblPr>
        <w:tblW w:w="9752" w:type="dxa"/>
        <w:jc w:val="start"/>
        <w:tblInd w:w="0" w:type="dxa"/>
        <w:tblLayout w:type="fixed"/>
        <w:tblCellMar>
          <w:top w:w="28" w:type="dxa"/>
          <w:start w:w="28" w:type="dxa"/>
          <w:bottom w:w="28" w:type="dxa"/>
          <w:end w:w="28" w:type="dxa"/>
        </w:tblCellMar>
      </w:tblPr>
      <w:tblGrid>
        <w:gridCol w:w="1486"/>
        <w:gridCol w:w="8266"/>
      </w:tblGrid>
      <w:tr>
        <w:trPr/>
        <w:tc>
          <w:tcPr>
            <w:tcW w:w="1486" w:type="dxa"/>
            <w:tcBorders/>
            <w:vAlign w:val="center"/>
          </w:tcPr>
          <w:p>
            <w:pPr>
              <w:pStyle w:val="TableHeading"/>
              <w:suppressLineNumbers/>
              <w:bidi w:val="0"/>
              <w:spacing w:before="0" w:after="140"/>
              <w:jc w:val="start"/>
              <w:rPr/>
            </w:pPr>
            <w:r>
              <w:rPr/>
              <w:t>Entity</w:t>
            </w:r>
          </w:p>
        </w:tc>
        <w:tc>
          <w:tcPr>
            <w:tcW w:w="8266" w:type="dxa"/>
            <w:tcBorders/>
            <w:vAlign w:val="center"/>
          </w:tcPr>
          <w:p>
            <w:pPr>
              <w:pStyle w:val="TableHeading"/>
              <w:suppressLineNumbers/>
              <w:bidi w:val="0"/>
              <w:spacing w:before="0" w:after="140"/>
              <w:jc w:val="start"/>
              <w:rPr/>
            </w:pPr>
            <w:r>
              <w:rPr/>
              <w:t>Key fields and constraints</w:t>
            </w:r>
          </w:p>
        </w:tc>
      </w:tr>
      <w:tr>
        <w:trPr/>
        <w:tc>
          <w:tcPr>
            <w:tcW w:w="1486" w:type="dxa"/>
            <w:tcBorders/>
            <w:vAlign w:val="center"/>
          </w:tcPr>
          <w:p>
            <w:pPr>
              <w:pStyle w:val="TableContents"/>
              <w:bidi w:val="0"/>
              <w:spacing w:before="0" w:after="140"/>
              <w:jc w:val="start"/>
              <w:rPr/>
            </w:pPr>
            <w:r>
              <w:rPr/>
              <w:t>User</w:t>
            </w:r>
          </w:p>
        </w:tc>
        <w:tc>
          <w:tcPr>
            <w:tcW w:w="8266" w:type="dxa"/>
            <w:tcBorders/>
            <w:vAlign w:val="center"/>
          </w:tcPr>
          <w:p>
            <w:pPr>
              <w:pStyle w:val="TableContents"/>
              <w:bidi w:val="0"/>
              <w:spacing w:before="0" w:after="140"/>
              <w:jc w:val="start"/>
              <w:rPr/>
            </w:pPr>
            <w:r>
              <w:rPr>
                <w:rStyle w:val="SourceText"/>
              </w:rPr>
              <w:t>id, email, password_hash, role</w:t>
            </w:r>
            <w:r>
              <w:rPr/>
              <w:t>; unique normalized email; no plaintext password field.</w:t>
            </w:r>
          </w:p>
        </w:tc>
      </w:tr>
      <w:tr>
        <w:trPr/>
        <w:tc>
          <w:tcPr>
            <w:tcW w:w="1486" w:type="dxa"/>
            <w:tcBorders/>
            <w:vAlign w:val="center"/>
          </w:tcPr>
          <w:p>
            <w:pPr>
              <w:pStyle w:val="TableContents"/>
              <w:bidi w:val="0"/>
              <w:spacing w:before="0" w:after="140"/>
              <w:jc w:val="start"/>
              <w:rPr/>
            </w:pPr>
            <w:r>
              <w:rPr/>
              <w:t>Trip</w:t>
            </w:r>
          </w:p>
        </w:tc>
        <w:tc>
          <w:tcPr>
            <w:tcW w:w="8266" w:type="dxa"/>
            <w:tcBorders/>
            <w:vAlign w:val="center"/>
          </w:tcPr>
          <w:p>
            <w:pPr>
              <w:pStyle w:val="TableContents"/>
              <w:bidi w:val="0"/>
              <w:spacing w:before="0" w:after="140"/>
              <w:jc w:val="start"/>
              <w:rPr/>
            </w:pPr>
            <w:r>
              <w:rPr>
                <w:rStyle w:val="SourceText"/>
              </w:rPr>
              <w:t>id, train_number, origin, destination, departure_utc, arrival_utc, fare, capacity, enabled</w:t>
            </w:r>
            <w:r>
              <w:rPr/>
              <w:t>.</w:t>
            </w:r>
          </w:p>
        </w:tc>
      </w:tr>
      <w:tr>
        <w:trPr/>
        <w:tc>
          <w:tcPr>
            <w:tcW w:w="1486" w:type="dxa"/>
            <w:tcBorders/>
            <w:vAlign w:val="center"/>
          </w:tcPr>
          <w:p>
            <w:pPr>
              <w:pStyle w:val="TableContents"/>
              <w:bidi w:val="0"/>
              <w:spacing w:before="0" w:after="140"/>
              <w:jc w:val="start"/>
              <w:rPr/>
            </w:pPr>
            <w:r>
              <w:rPr/>
              <w:t>Seat</w:t>
            </w:r>
          </w:p>
        </w:tc>
        <w:tc>
          <w:tcPr>
            <w:tcW w:w="8266" w:type="dxa"/>
            <w:tcBorders/>
            <w:vAlign w:val="center"/>
          </w:tcPr>
          <w:p>
            <w:pPr>
              <w:pStyle w:val="TableContents"/>
              <w:bidi w:val="0"/>
              <w:spacing w:before="0" w:after="140"/>
              <w:jc w:val="start"/>
              <w:rPr/>
            </w:pPr>
            <w:r>
              <w:rPr>
                <w:rStyle w:val="SourceText"/>
              </w:rPr>
              <w:t>id, trip_id, seat_number</w:t>
            </w:r>
            <w:r>
              <w:rPr/>
              <w:t xml:space="preserve">; unique </w:t>
            </w:r>
            <w:r>
              <w:rPr>
                <w:rStyle w:val="SourceText"/>
              </w:rPr>
              <w:t>(trip_id, seat_number)</w:t>
            </w:r>
            <w:r>
              <w:rPr/>
              <w:t>.</w:t>
            </w:r>
          </w:p>
        </w:tc>
      </w:tr>
      <w:tr>
        <w:trPr/>
        <w:tc>
          <w:tcPr>
            <w:tcW w:w="1486" w:type="dxa"/>
            <w:tcBorders/>
            <w:vAlign w:val="center"/>
          </w:tcPr>
          <w:p>
            <w:pPr>
              <w:pStyle w:val="TableContents"/>
              <w:bidi w:val="0"/>
              <w:spacing w:before="0" w:after="140"/>
              <w:jc w:val="start"/>
              <w:rPr/>
            </w:pPr>
            <w:r>
              <w:rPr/>
              <w:t>Booking</w:t>
            </w:r>
          </w:p>
        </w:tc>
        <w:tc>
          <w:tcPr>
            <w:tcW w:w="8266" w:type="dxa"/>
            <w:tcBorders/>
            <w:vAlign w:val="center"/>
          </w:tcPr>
          <w:p>
            <w:pPr>
              <w:pStyle w:val="TableContents"/>
              <w:bidi w:val="0"/>
              <w:spacing w:before="0" w:after="140"/>
              <w:jc w:val="start"/>
              <w:rPr/>
            </w:pPr>
            <w:r>
              <w:rPr>
                <w:rStyle w:val="SourceText"/>
              </w:rPr>
              <w:t>id, pnr, user_id, trip_id, seat_id, status, idempotency_key</w:t>
            </w:r>
            <w:r>
              <w:rPr/>
              <w:t>; unique PNR, unique confirmed seat, unique caller/idempotency key.</w:t>
            </w:r>
          </w:p>
        </w:tc>
      </w:tr>
      <w:tr>
        <w:trPr/>
        <w:tc>
          <w:tcPr>
            <w:tcW w:w="1486" w:type="dxa"/>
            <w:tcBorders/>
            <w:vAlign w:val="center"/>
          </w:tcPr>
          <w:p>
            <w:pPr>
              <w:pStyle w:val="TableContents"/>
              <w:bidi w:val="0"/>
              <w:spacing w:before="0" w:after="140"/>
              <w:jc w:val="start"/>
              <w:rPr/>
            </w:pPr>
            <w:r>
              <w:rPr/>
              <w:t>PaymentEvent</w:t>
            </w:r>
          </w:p>
        </w:tc>
        <w:tc>
          <w:tcPr>
            <w:tcW w:w="8266" w:type="dxa"/>
            <w:tcBorders/>
            <w:vAlign w:val="center"/>
          </w:tcPr>
          <w:p>
            <w:pPr>
              <w:pStyle w:val="TableContents"/>
              <w:bidi w:val="0"/>
              <w:spacing w:before="0" w:after="140"/>
              <w:jc w:val="start"/>
              <w:rPr/>
            </w:pPr>
            <w:r>
              <w:rPr>
                <w:rStyle w:val="SourceText"/>
              </w:rPr>
              <w:t>id, booking_id, kind, status, reference</w:t>
            </w:r>
            <w:r>
              <w:rPr/>
              <w:t>; contains no payment credentials.</w:t>
            </w:r>
          </w:p>
        </w:tc>
      </w:tr>
      <w:tr>
        <w:trPr/>
        <w:tc>
          <w:tcPr>
            <w:tcW w:w="1486" w:type="dxa"/>
            <w:tcBorders/>
            <w:vAlign w:val="center"/>
          </w:tcPr>
          <w:p>
            <w:pPr>
              <w:pStyle w:val="TableContents"/>
              <w:bidi w:val="0"/>
              <w:spacing w:before="0" w:after="140"/>
              <w:jc w:val="start"/>
              <w:rPr/>
            </w:pPr>
            <w:r>
              <w:rPr/>
              <w:t>AuditEvent</w:t>
            </w:r>
          </w:p>
        </w:tc>
        <w:tc>
          <w:tcPr>
            <w:tcW w:w="8266" w:type="dxa"/>
            <w:tcBorders/>
            <w:vAlign w:val="center"/>
          </w:tcPr>
          <w:p>
            <w:pPr>
              <w:pStyle w:val="TableContents"/>
              <w:bidi w:val="0"/>
              <w:spacing w:before="0" w:after="140"/>
              <w:jc w:val="start"/>
              <w:rPr/>
            </w:pPr>
            <w:r>
              <w:rPr>
                <w:rStyle w:val="SourceText"/>
              </w:rPr>
              <w:t>id, actor_id, action, outcome, created_utc, request_id</w:t>
            </w:r>
            <w:r>
              <w:rPr/>
              <w:t>; append-only at the application boundary.</w:t>
            </w:r>
          </w:p>
        </w:tc>
      </w:tr>
    </w:tbl>
    <w:p>
      <w:pPr>
        <w:pStyle w:val="BodyText"/>
        <w:bidi w:val="0"/>
        <w:spacing w:before="0" w:after="140"/>
        <w:rPr/>
      </w:pPr>
      <w:r>
        <w:rPr/>
        <w:t>The Web UI is served to current browsers. API/domain services and the database run in separate processes. Database network access is private to server-side services. HTTPS terminates at the trusted application edge, and authenticated traffic remains protected across any internal hop.</w:t>
      </w:r>
    </w:p>
    <w:p>
      <w:pPr>
        <w:pStyle w:val="Heading2"/>
        <w:bidi w:val="0"/>
        <w:ind w:hanging="0" w:start="0" w:end="0"/>
        <w:rPr/>
      </w:pPr>
      <w:bookmarkStart w:id="5" w:name="secarch"/>
      <w:bookmarkEnd w:id="5"/>
      <w:r>
        <w:rPr/>
        <w:t>2.4 Security Architecture</w:t>
      </w:r>
    </w:p>
    <w:p>
      <w:pPr>
        <w:pStyle w:val="BodyText"/>
        <w:numPr>
          <w:ilvl w:val="0"/>
          <w:numId w:val="4"/>
        </w:numPr>
        <w:tabs>
          <w:tab w:val="clear" w:pos="1134"/>
          <w:tab w:val="left" w:pos="709" w:leader="none"/>
        </w:tabs>
        <w:bidi w:val="0"/>
        <w:spacing w:before="0" w:after="0"/>
        <w:ind w:hanging="283" w:start="709"/>
        <w:rPr/>
      </w:pPr>
      <w:r>
        <w:rPr>
          <w:rStyle w:val="Strong"/>
        </w:rPr>
        <w:t>Identity:</w:t>
      </w:r>
      <w:r>
        <w:rPr/>
        <w:t xml:space="preserve"> salted adaptive password hashes; generic authentication errors; account lockout after the defined threshold. </w:t>
      </w:r>
    </w:p>
    <w:p>
      <w:pPr>
        <w:pStyle w:val="BodyText"/>
        <w:numPr>
          <w:ilvl w:val="0"/>
          <w:numId w:val="4"/>
        </w:numPr>
        <w:tabs>
          <w:tab w:val="clear" w:pos="1134"/>
          <w:tab w:val="left" w:pos="709" w:leader="none"/>
        </w:tabs>
        <w:bidi w:val="0"/>
        <w:spacing w:before="0" w:after="0"/>
        <w:ind w:hanging="283" w:start="709"/>
        <w:rPr/>
      </w:pPr>
      <w:r>
        <w:rPr>
          <w:rStyle w:val="Strong"/>
        </w:rPr>
        <w:t>Authorization:</w:t>
      </w:r>
      <w:r>
        <w:rPr/>
        <w:t xml:space="preserve"> the API and domain layer both verify actor, role and resource ownership. </w:t>
      </w:r>
    </w:p>
    <w:p>
      <w:pPr>
        <w:pStyle w:val="BodyText"/>
        <w:numPr>
          <w:ilvl w:val="0"/>
          <w:numId w:val="4"/>
        </w:numPr>
        <w:tabs>
          <w:tab w:val="clear" w:pos="1134"/>
          <w:tab w:val="left" w:pos="709" w:leader="none"/>
        </w:tabs>
        <w:bidi w:val="0"/>
        <w:spacing w:before="0" w:after="0"/>
        <w:ind w:hanging="283" w:start="709"/>
        <w:rPr/>
      </w:pPr>
      <w:r>
        <w:rPr>
          <w:rStyle w:val="Strong"/>
        </w:rPr>
        <w:t>Sessions:</w:t>
      </w:r>
      <w:r>
        <w:rPr/>
        <w:t xml:space="preserve"> HTTPS-only authenticated traffic, inactivity expiry and server-side invalidation on sign-out. </w:t>
      </w:r>
    </w:p>
    <w:p>
      <w:pPr>
        <w:pStyle w:val="BodyText"/>
        <w:numPr>
          <w:ilvl w:val="0"/>
          <w:numId w:val="4"/>
        </w:numPr>
        <w:tabs>
          <w:tab w:val="clear" w:pos="1134"/>
          <w:tab w:val="left" w:pos="709" w:leader="none"/>
        </w:tabs>
        <w:bidi w:val="0"/>
        <w:spacing w:before="0" w:after="0"/>
        <w:ind w:hanging="283" w:start="709"/>
        <w:rPr/>
      </w:pPr>
      <w:r>
        <w:rPr>
          <w:rStyle w:val="Strong"/>
        </w:rPr>
        <w:t>Data protection:</w:t>
      </w:r>
      <w:r>
        <w:rPr/>
        <w:t xml:space="preserve"> parameterized database operations, private database access and no secrets in errors or audit payloads. </w:t>
      </w:r>
    </w:p>
    <w:p>
      <w:pPr>
        <w:pStyle w:val="BodyText"/>
        <w:numPr>
          <w:ilvl w:val="0"/>
          <w:numId w:val="4"/>
        </w:numPr>
        <w:tabs>
          <w:tab w:val="clear" w:pos="1134"/>
          <w:tab w:val="left" w:pos="709" w:leader="none"/>
        </w:tabs>
        <w:bidi w:val="0"/>
        <w:spacing w:before="0" w:after="0"/>
        <w:ind w:hanging="283" w:start="709"/>
        <w:rPr/>
      </w:pPr>
      <w:r>
        <w:rPr>
          <w:rStyle w:val="Strong"/>
        </w:rPr>
        <w:t>Auditability:</w:t>
      </w:r>
      <w:r>
        <w:rPr/>
        <w:t xml:space="preserve"> actor, action, timestamp, request ID and outcome are recorded for defined events; submitted passwords and tokens are excluded. </w:t>
      </w:r>
    </w:p>
    <w:p>
      <w:pPr>
        <w:pStyle w:val="BodyText"/>
        <w:numPr>
          <w:ilvl w:val="0"/>
          <w:numId w:val="4"/>
        </w:numPr>
        <w:tabs>
          <w:tab w:val="clear" w:pos="1134"/>
          <w:tab w:val="left" w:pos="709" w:leader="none"/>
        </w:tabs>
        <w:bidi w:val="0"/>
        <w:ind w:hanging="283" w:start="709"/>
        <w:rPr/>
      </w:pPr>
      <w:r>
        <w:rPr>
          <w:rStyle w:val="Strong"/>
        </w:rPr>
        <w:t>Concurrency:</w:t>
      </w:r>
      <w:r>
        <w:rPr/>
        <w:t xml:space="preserve"> transaction locks plus uniqueness constraints prevent two confirmed bookings for the same seat. </w:t>
      </w:r>
    </w:p>
    <w:p>
      <w:pPr>
        <w:pStyle w:val="Heading2"/>
        <w:bidi w:val="0"/>
        <w:ind w:hanging="0" w:start="0" w:end="0"/>
        <w:rPr/>
      </w:pPr>
      <w:bookmarkStart w:id="6" w:name="archtrace"/>
      <w:bookmarkEnd w:id="6"/>
      <w:r>
        <w:rPr/>
        <w:t>2.5 Architecture Traceability</w:t>
      </w:r>
    </w:p>
    <w:tbl>
      <w:tblPr>
        <w:tblW w:w="9515" w:type="dxa"/>
        <w:jc w:val="start"/>
        <w:tblInd w:w="0" w:type="dxa"/>
        <w:tblLayout w:type="fixed"/>
        <w:tblCellMar>
          <w:top w:w="28" w:type="dxa"/>
          <w:start w:w="28" w:type="dxa"/>
          <w:bottom w:w="28" w:type="dxa"/>
          <w:end w:w="28" w:type="dxa"/>
        </w:tblCellMar>
      </w:tblPr>
      <w:tblGrid>
        <w:gridCol w:w="2250"/>
        <w:gridCol w:w="7265"/>
      </w:tblGrid>
      <w:tr>
        <w:trPr/>
        <w:tc>
          <w:tcPr>
            <w:tcW w:w="2250" w:type="dxa"/>
            <w:tcBorders/>
            <w:vAlign w:val="center"/>
          </w:tcPr>
          <w:p>
            <w:pPr>
              <w:pStyle w:val="TableHeading"/>
              <w:suppressLineNumbers/>
              <w:bidi w:val="0"/>
              <w:spacing w:before="0" w:after="140"/>
              <w:jc w:val="start"/>
              <w:rPr/>
            </w:pPr>
            <w:r>
              <w:rPr/>
              <w:t>Requirements</w:t>
            </w:r>
          </w:p>
        </w:tc>
        <w:tc>
          <w:tcPr>
            <w:tcW w:w="7265" w:type="dxa"/>
            <w:tcBorders/>
            <w:vAlign w:val="center"/>
          </w:tcPr>
          <w:p>
            <w:pPr>
              <w:pStyle w:val="TableHeading"/>
              <w:suppressLineNumbers/>
              <w:bidi w:val="0"/>
              <w:spacing w:before="0" w:after="140"/>
              <w:jc w:val="start"/>
              <w:rPr/>
            </w:pPr>
            <w:r>
              <w:rPr/>
              <w:t>Design realization</w:t>
            </w:r>
          </w:p>
        </w:tc>
      </w:tr>
      <w:tr>
        <w:trPr/>
        <w:tc>
          <w:tcPr>
            <w:tcW w:w="2250" w:type="dxa"/>
            <w:tcBorders/>
            <w:vAlign w:val="center"/>
          </w:tcPr>
          <w:p>
            <w:pPr>
              <w:pStyle w:val="TableContents"/>
              <w:bidi w:val="0"/>
              <w:spacing w:before="0" w:after="140"/>
              <w:jc w:val="start"/>
              <w:rPr/>
            </w:pPr>
            <w:r>
              <w:rPr/>
              <w:t>FR-01–02; SEC-02–04</w:t>
            </w:r>
          </w:p>
        </w:tc>
        <w:tc>
          <w:tcPr>
            <w:tcW w:w="7265" w:type="dxa"/>
            <w:tcBorders/>
            <w:vAlign w:val="center"/>
          </w:tcPr>
          <w:p>
            <w:pPr>
              <w:pStyle w:val="TableContents"/>
              <w:bidi w:val="0"/>
              <w:spacing w:before="0" w:after="140"/>
              <w:jc w:val="start"/>
              <w:rPr/>
            </w:pPr>
            <w:r>
              <w:rPr/>
              <w:t>Auth Service, API security boundary and AuditEvent.</w:t>
            </w:r>
          </w:p>
        </w:tc>
      </w:tr>
      <w:tr>
        <w:trPr/>
        <w:tc>
          <w:tcPr>
            <w:tcW w:w="2250" w:type="dxa"/>
            <w:tcBorders/>
            <w:vAlign w:val="center"/>
          </w:tcPr>
          <w:p>
            <w:pPr>
              <w:pStyle w:val="TableContents"/>
              <w:bidi w:val="0"/>
              <w:spacing w:before="0" w:after="140"/>
              <w:jc w:val="start"/>
              <w:rPr/>
            </w:pPr>
            <w:r>
              <w:rPr/>
              <w:t>FR-03–04; NFR-01</w:t>
            </w:r>
          </w:p>
        </w:tc>
        <w:tc>
          <w:tcPr>
            <w:tcW w:w="7265" w:type="dxa"/>
            <w:tcBorders/>
            <w:vAlign w:val="center"/>
          </w:tcPr>
          <w:p>
            <w:pPr>
              <w:pStyle w:val="TableContents"/>
              <w:bidi w:val="0"/>
              <w:spacing w:before="0" w:after="140"/>
              <w:jc w:val="start"/>
              <w:rPr/>
            </w:pPr>
            <w:r>
              <w:rPr/>
              <w:t>Train Search, indexed trip data and calculated availability.</w:t>
            </w:r>
          </w:p>
        </w:tc>
      </w:tr>
      <w:tr>
        <w:trPr/>
        <w:tc>
          <w:tcPr>
            <w:tcW w:w="2250" w:type="dxa"/>
            <w:tcBorders/>
            <w:vAlign w:val="center"/>
          </w:tcPr>
          <w:p>
            <w:pPr>
              <w:pStyle w:val="TableContents"/>
              <w:bidi w:val="0"/>
              <w:spacing w:before="0" w:after="140"/>
              <w:jc w:val="start"/>
              <w:rPr/>
            </w:pPr>
            <w:r>
              <w:rPr/>
              <w:t>FR-05–07; NFR-02–04</w:t>
            </w:r>
          </w:p>
        </w:tc>
        <w:tc>
          <w:tcPr>
            <w:tcW w:w="7265" w:type="dxa"/>
            <w:tcBorders/>
            <w:vAlign w:val="center"/>
          </w:tcPr>
          <w:p>
            <w:pPr>
              <w:pStyle w:val="TableContents"/>
              <w:bidi w:val="0"/>
              <w:spacing w:before="0" w:after="140"/>
              <w:jc w:val="start"/>
              <w:rPr/>
            </w:pPr>
            <w:r>
              <w:rPr/>
              <w:t>Booking Service, Payment Simulator and transactional database constraints.</w:t>
            </w:r>
          </w:p>
        </w:tc>
      </w:tr>
      <w:tr>
        <w:trPr/>
        <w:tc>
          <w:tcPr>
            <w:tcW w:w="2250" w:type="dxa"/>
            <w:tcBorders/>
            <w:vAlign w:val="center"/>
          </w:tcPr>
          <w:p>
            <w:pPr>
              <w:pStyle w:val="TableContents"/>
              <w:bidi w:val="0"/>
              <w:spacing w:before="0" w:after="140"/>
              <w:jc w:val="start"/>
              <w:rPr/>
            </w:pPr>
            <w:r>
              <w:rPr/>
              <w:t>FR-08</w:t>
            </w:r>
          </w:p>
        </w:tc>
        <w:tc>
          <w:tcPr>
            <w:tcW w:w="7265" w:type="dxa"/>
            <w:tcBorders/>
            <w:vAlign w:val="center"/>
          </w:tcPr>
          <w:p>
            <w:pPr>
              <w:pStyle w:val="TableContents"/>
              <w:bidi w:val="0"/>
              <w:spacing w:before="0" w:after="140"/>
              <w:jc w:val="start"/>
              <w:rPr/>
            </w:pPr>
            <w:r>
              <w:rPr/>
              <w:t>API role checks and Admin Service.</w:t>
            </w:r>
          </w:p>
        </w:tc>
      </w:tr>
      <w:tr>
        <w:trPr/>
        <w:tc>
          <w:tcPr>
            <w:tcW w:w="2250" w:type="dxa"/>
            <w:tcBorders/>
            <w:vAlign w:val="center"/>
          </w:tcPr>
          <w:p>
            <w:pPr>
              <w:pStyle w:val="TableContents"/>
              <w:bidi w:val="0"/>
              <w:spacing w:before="0" w:after="140"/>
              <w:jc w:val="start"/>
              <w:rPr/>
            </w:pPr>
            <w:r>
              <w:rPr/>
              <w:t>FR-09</w:t>
            </w:r>
          </w:p>
        </w:tc>
        <w:tc>
          <w:tcPr>
            <w:tcW w:w="7265" w:type="dxa"/>
            <w:tcBorders/>
            <w:vAlign w:val="center"/>
          </w:tcPr>
          <w:p>
            <w:pPr>
              <w:pStyle w:val="TableContents"/>
              <w:bidi w:val="0"/>
              <w:spacing w:before="0" w:after="140"/>
              <w:jc w:val="start"/>
              <w:rPr/>
            </w:pPr>
            <w:r>
              <w:rPr/>
              <w:t>Auth, Booking and Admin services append AuditEvent records.</w:t>
            </w:r>
          </w:p>
        </w:tc>
      </w:tr>
      <w:tr>
        <w:trPr/>
        <w:tc>
          <w:tcPr>
            <w:tcW w:w="2250" w:type="dxa"/>
            <w:tcBorders/>
            <w:vAlign w:val="center"/>
          </w:tcPr>
          <w:p>
            <w:pPr>
              <w:pStyle w:val="TableContents"/>
              <w:bidi w:val="0"/>
              <w:spacing w:before="0" w:after="140"/>
              <w:jc w:val="start"/>
              <w:rPr/>
            </w:pPr>
            <w:r>
              <w:rPr/>
              <w:t>SEC-01</w:t>
            </w:r>
          </w:p>
        </w:tc>
        <w:tc>
          <w:tcPr>
            <w:tcW w:w="7265" w:type="dxa"/>
            <w:tcBorders/>
            <w:vAlign w:val="center"/>
          </w:tcPr>
          <w:p>
            <w:pPr>
              <w:pStyle w:val="TableContents"/>
              <w:bidi w:val="0"/>
              <w:spacing w:before="0" w:after="140"/>
              <w:jc w:val="start"/>
              <w:rPr/>
            </w:pPr>
            <w:r>
              <w:rPr/>
              <w:t>API plus domain-layer role/ownership checks.</w:t>
            </w:r>
          </w:p>
        </w:tc>
      </w:tr>
      <w:tr>
        <w:trPr/>
        <w:tc>
          <w:tcPr>
            <w:tcW w:w="2250" w:type="dxa"/>
            <w:tcBorders/>
            <w:vAlign w:val="center"/>
          </w:tcPr>
          <w:p>
            <w:pPr>
              <w:pStyle w:val="TableContents"/>
              <w:bidi w:val="0"/>
              <w:spacing w:before="0" w:after="140"/>
              <w:jc w:val="start"/>
              <w:rPr/>
            </w:pPr>
            <w:r>
              <w:rPr/>
              <w:t>NFR-05–06</w:t>
            </w:r>
          </w:p>
        </w:tc>
        <w:tc>
          <w:tcPr>
            <w:tcW w:w="7265" w:type="dxa"/>
            <w:tcBorders/>
            <w:vAlign w:val="center"/>
          </w:tcPr>
          <w:p>
            <w:pPr>
              <w:pStyle w:val="TableContents"/>
              <w:bidi w:val="0"/>
              <w:spacing w:before="0" w:after="140"/>
              <w:jc w:val="start"/>
              <w:rPr/>
            </w:pPr>
            <w:r>
              <w:rPr/>
              <w:t>Accessible responsive Web UI.</w:t>
            </w:r>
          </w:p>
        </w:tc>
      </w:tr>
    </w:tbl>
    <w:p>
      <w:pPr>
        <w:pStyle w:val="Heading1"/>
        <w:bidi w:val="0"/>
        <w:ind w:hanging="0" w:start="0" w:end="0"/>
        <w:rPr/>
      </w:pPr>
      <w:bookmarkStart w:id="7" w:name="design"/>
      <w:bookmarkEnd w:id="7"/>
      <w:r>
        <w:rPr/>
        <w:t>3. Detailed Design</w:t>
      </w:r>
    </w:p>
    <w:p>
      <w:pPr>
        <w:pStyle w:val="Heading2"/>
        <w:bidi w:val="0"/>
        <w:ind w:hanging="0" w:start="0" w:end="0"/>
        <w:rPr/>
      </w:pPr>
      <w:bookmarkStart w:id="8" w:name="bookingseq"/>
      <w:bookmarkEnd w:id="8"/>
      <w:r>
        <w:rPr/>
        <w:t>3.1 Booking Sequence</w:t>
      </w:r>
    </w:p>
    <w:p>
      <w:pPr>
        <w:pStyle w:val="BodyText"/>
        <w:bidi w:val="0"/>
        <w:spacing w:before="0" w:after="140"/>
        <w:rPr/>
      </w:pPr>
      <w:r>
        <w:rPr/>
        <w:drawing>
          <wp:inline distT="0" distB="0" distL="0" distR="0">
            <wp:extent cx="20002500" cy="13087350"/>
            <wp:effectExtent l="0" t="0" r="0" b="0"/>
            <wp:docPr id="2" name="Image2" title="UML sequence diagram showing Booking Service coordinating seat hold, payment and confi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title="UML sequence diagram showing Booking Service coordinating seat hold, payment and confirmation"/>
                    <pic:cNvPicPr>
                      <a:picLocks noChangeAspect="1" noChangeArrowheads="1"/>
                    </pic:cNvPicPr>
                  </pic:nvPicPr>
                  <pic:blipFill>
                    <a:blip r:embed="rId3"/>
                    <a:stretch>
                      <a:fillRect/>
                    </a:stretch>
                  </pic:blipFill>
                  <pic:spPr bwMode="auto">
                    <a:xfrm>
                      <a:off x="0" y="0"/>
                      <a:ext cx="20002500" cy="13087350"/>
                    </a:xfrm>
                    <a:prstGeom prst="rect">
                      <a:avLst/>
                    </a:prstGeom>
                    <a:noFill/>
                  </pic:spPr>
                </pic:pic>
              </a:graphicData>
            </a:graphic>
          </wp:inline>
        </w:drawing>
      </w:r>
      <w:r>
        <w:rPr/>
        <w:t xml:space="preserve"> </w:t>
      </w:r>
      <w:r>
        <w:rPr/>
        <w:t xml:space="preserve">Figure 2. Booking Service consistently owns the booking transaction and payment outcome. </w:t>
      </w:r>
    </w:p>
    <w:p>
      <w:pPr>
        <w:pStyle w:val="BodyText"/>
        <w:bidi w:val="0"/>
        <w:spacing w:before="0" w:after="140"/>
        <w:rPr/>
      </w:pPr>
      <w:r>
        <w:rPr/>
        <w:t>The service obtains or returns the existing idempotent result, locks one available seat and creates a temporary hold. It calls the simulator with a transaction reference. Success confirms the booking and PNR in the same controlled workflow; failure releases the hold and creates no confirmed booking.</w:t>
      </w:r>
    </w:p>
    <w:p>
      <w:pPr>
        <w:pStyle w:val="Heading2"/>
        <w:bidi w:val="0"/>
        <w:ind w:hanging="0" w:start="0" w:end="0"/>
        <w:rPr/>
      </w:pPr>
      <w:bookmarkStart w:id="9" w:name="cancelseq"/>
      <w:bookmarkEnd w:id="9"/>
      <w:r>
        <w:rPr/>
        <w:t>3.2 Cancellation Sequence</w:t>
      </w:r>
    </w:p>
    <w:p>
      <w:pPr>
        <w:pStyle w:val="BodyText"/>
        <w:bidi w:val="0"/>
        <w:spacing w:before="0" w:after="140"/>
        <w:rPr/>
      </w:pPr>
      <w:r>
        <w:rPr/>
        <w:drawing>
          <wp:inline distT="0" distB="0" distL="0" distR="0">
            <wp:extent cx="20002500" cy="12315825"/>
            <wp:effectExtent l="0" t="0" r="0" b="0"/>
            <wp:docPr id="3" name="Image3" title="UML sequence diagram for owned and eligible booking cance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title="UML sequence diagram for owned and eligible booking cancellation"/>
                    <pic:cNvPicPr>
                      <a:picLocks noChangeAspect="1" noChangeArrowheads="1"/>
                    </pic:cNvPicPr>
                  </pic:nvPicPr>
                  <pic:blipFill>
                    <a:blip r:embed="rId4"/>
                    <a:stretch>
                      <a:fillRect/>
                    </a:stretch>
                  </pic:blipFill>
                  <pic:spPr bwMode="auto">
                    <a:xfrm>
                      <a:off x="0" y="0"/>
                      <a:ext cx="20002500" cy="12315825"/>
                    </a:xfrm>
                    <a:prstGeom prst="rect">
                      <a:avLst/>
                    </a:prstGeom>
                    <a:noFill/>
                  </pic:spPr>
                </pic:pic>
              </a:graphicData>
            </a:graphic>
          </wp:inline>
        </w:drawing>
      </w:r>
      <w:r>
        <w:rPr/>
        <w:t xml:space="preserve"> </w:t>
      </w:r>
      <w:r>
        <w:rPr/>
        <w:t xml:space="preserve">Figure 3. Cancellation checks owner, state and departure before a single inventory release. </w:t>
      </w:r>
    </w:p>
    <w:p>
      <w:pPr>
        <w:pStyle w:val="BodyText"/>
        <w:bidi w:val="0"/>
        <w:spacing w:before="0" w:after="140"/>
        <w:rPr/>
      </w:pPr>
      <w:r>
        <w:rPr/>
        <w:t>A confirmed booking moves to cancelled once. Late, repeated and non-owner requests do not change inventory. Refund failure remains visible as a payment-event outcome without restoring the cancelled booking.</w:t>
      </w:r>
    </w:p>
    <w:p>
      <w:pPr>
        <w:pStyle w:val="Heading2"/>
        <w:bidi w:val="0"/>
        <w:ind w:hanging="0" w:start="0" w:end="0"/>
        <w:rPr/>
      </w:pPr>
      <w:bookmarkStart w:id="10" w:name="api"/>
      <w:bookmarkEnd w:id="10"/>
      <w:r>
        <w:rPr/>
        <w:t>3.3 API Design</w:t>
      </w:r>
    </w:p>
    <w:tbl>
      <w:tblPr>
        <w:tblW w:w="9752" w:type="dxa"/>
        <w:jc w:val="start"/>
        <w:tblInd w:w="0" w:type="dxa"/>
        <w:tblLayout w:type="fixed"/>
        <w:tblCellMar>
          <w:top w:w="28" w:type="dxa"/>
          <w:start w:w="28" w:type="dxa"/>
          <w:bottom w:w="28" w:type="dxa"/>
          <w:end w:w="28" w:type="dxa"/>
        </w:tblCellMar>
      </w:tblPr>
      <w:tblGrid>
        <w:gridCol w:w="3692"/>
        <w:gridCol w:w="2406"/>
        <w:gridCol w:w="3654"/>
      </w:tblGrid>
      <w:tr>
        <w:trPr/>
        <w:tc>
          <w:tcPr>
            <w:tcW w:w="3692" w:type="dxa"/>
            <w:tcBorders/>
            <w:vAlign w:val="center"/>
          </w:tcPr>
          <w:p>
            <w:pPr>
              <w:pStyle w:val="TableHeading"/>
              <w:suppressLineNumbers/>
              <w:bidi w:val="0"/>
              <w:spacing w:before="0" w:after="140"/>
              <w:jc w:val="start"/>
              <w:rPr/>
            </w:pPr>
            <w:r>
              <w:rPr/>
              <w:t>Method and resource</w:t>
            </w:r>
          </w:p>
        </w:tc>
        <w:tc>
          <w:tcPr>
            <w:tcW w:w="2406" w:type="dxa"/>
            <w:tcBorders/>
            <w:vAlign w:val="center"/>
          </w:tcPr>
          <w:p>
            <w:pPr>
              <w:pStyle w:val="TableHeading"/>
              <w:suppressLineNumbers/>
              <w:bidi w:val="0"/>
              <w:spacing w:before="0" w:after="140"/>
              <w:jc w:val="start"/>
              <w:rPr/>
            </w:pPr>
            <w:r>
              <w:rPr/>
              <w:t>Success</w:t>
            </w:r>
          </w:p>
        </w:tc>
        <w:tc>
          <w:tcPr>
            <w:tcW w:w="3654" w:type="dxa"/>
            <w:tcBorders/>
            <w:vAlign w:val="center"/>
          </w:tcPr>
          <w:p>
            <w:pPr>
              <w:pStyle w:val="TableHeading"/>
              <w:suppressLineNumbers/>
              <w:bidi w:val="0"/>
              <w:spacing w:before="0" w:after="140"/>
              <w:jc w:val="start"/>
              <w:rPr/>
            </w:pPr>
            <w:r>
              <w:rPr/>
              <w:t>Principal failures</w:t>
            </w:r>
          </w:p>
        </w:tc>
      </w:tr>
      <w:tr>
        <w:trPr/>
        <w:tc>
          <w:tcPr>
            <w:tcW w:w="3692" w:type="dxa"/>
            <w:tcBorders/>
            <w:vAlign w:val="center"/>
          </w:tcPr>
          <w:p>
            <w:pPr>
              <w:pStyle w:val="TableContents"/>
              <w:bidi w:val="0"/>
              <w:spacing w:before="0" w:after="140"/>
              <w:jc w:val="start"/>
              <w:rPr/>
            </w:pPr>
            <w:r>
              <w:rPr>
                <w:rStyle w:val="SourceText"/>
              </w:rPr>
              <w:t>POST /api/register</w:t>
            </w:r>
          </w:p>
        </w:tc>
        <w:tc>
          <w:tcPr>
            <w:tcW w:w="2406" w:type="dxa"/>
            <w:tcBorders/>
            <w:vAlign w:val="center"/>
          </w:tcPr>
          <w:p>
            <w:pPr>
              <w:pStyle w:val="TableContents"/>
              <w:bidi w:val="0"/>
              <w:spacing w:before="0" w:after="140"/>
              <w:jc w:val="start"/>
              <w:rPr/>
            </w:pPr>
            <w:r>
              <w:rPr/>
              <w:t>201 account created</w:t>
            </w:r>
          </w:p>
        </w:tc>
        <w:tc>
          <w:tcPr>
            <w:tcW w:w="3654" w:type="dxa"/>
            <w:tcBorders/>
            <w:vAlign w:val="center"/>
          </w:tcPr>
          <w:p>
            <w:pPr>
              <w:pStyle w:val="TableContents"/>
              <w:bidi w:val="0"/>
              <w:spacing w:before="0" w:after="140"/>
              <w:jc w:val="start"/>
              <w:rPr/>
            </w:pPr>
            <w:r>
              <w:rPr/>
              <w:t>400 validation; 409 duplicate</w:t>
            </w:r>
          </w:p>
        </w:tc>
      </w:tr>
      <w:tr>
        <w:trPr/>
        <w:tc>
          <w:tcPr>
            <w:tcW w:w="3692" w:type="dxa"/>
            <w:tcBorders/>
            <w:vAlign w:val="center"/>
          </w:tcPr>
          <w:p>
            <w:pPr>
              <w:pStyle w:val="TableContents"/>
              <w:bidi w:val="0"/>
              <w:spacing w:before="0" w:after="140"/>
              <w:jc w:val="start"/>
              <w:rPr/>
            </w:pPr>
            <w:r>
              <w:rPr>
                <w:rStyle w:val="SourceText"/>
              </w:rPr>
              <w:t>POST /api/sessions</w:t>
            </w:r>
          </w:p>
        </w:tc>
        <w:tc>
          <w:tcPr>
            <w:tcW w:w="2406" w:type="dxa"/>
            <w:tcBorders/>
            <w:vAlign w:val="center"/>
          </w:tcPr>
          <w:p>
            <w:pPr>
              <w:pStyle w:val="TableContents"/>
              <w:bidi w:val="0"/>
              <w:spacing w:before="0" w:after="140"/>
              <w:jc w:val="start"/>
              <w:rPr/>
            </w:pPr>
            <w:r>
              <w:rPr/>
              <w:t>200 session</w:t>
            </w:r>
          </w:p>
        </w:tc>
        <w:tc>
          <w:tcPr>
            <w:tcW w:w="3654" w:type="dxa"/>
            <w:tcBorders/>
            <w:vAlign w:val="center"/>
          </w:tcPr>
          <w:p>
            <w:pPr>
              <w:pStyle w:val="TableContents"/>
              <w:bidi w:val="0"/>
              <w:spacing w:before="0" w:after="140"/>
              <w:jc w:val="start"/>
              <w:rPr/>
            </w:pPr>
            <w:r>
              <w:rPr/>
              <w:t>401 invalid; 429 locked</w:t>
            </w:r>
          </w:p>
        </w:tc>
      </w:tr>
      <w:tr>
        <w:trPr/>
        <w:tc>
          <w:tcPr>
            <w:tcW w:w="3692" w:type="dxa"/>
            <w:tcBorders/>
            <w:vAlign w:val="center"/>
          </w:tcPr>
          <w:p>
            <w:pPr>
              <w:pStyle w:val="TableContents"/>
              <w:bidi w:val="0"/>
              <w:spacing w:before="0" w:after="140"/>
              <w:jc w:val="start"/>
              <w:rPr/>
            </w:pPr>
            <w:r>
              <w:rPr>
                <w:rStyle w:val="SourceText"/>
              </w:rPr>
              <w:t>DELETE /api/sessions/current</w:t>
            </w:r>
          </w:p>
        </w:tc>
        <w:tc>
          <w:tcPr>
            <w:tcW w:w="2406" w:type="dxa"/>
            <w:tcBorders/>
            <w:vAlign w:val="center"/>
          </w:tcPr>
          <w:p>
            <w:pPr>
              <w:pStyle w:val="TableContents"/>
              <w:bidi w:val="0"/>
              <w:spacing w:before="0" w:after="140"/>
              <w:jc w:val="start"/>
              <w:rPr/>
            </w:pPr>
            <w:r>
              <w:rPr/>
              <w:t>204</w:t>
            </w:r>
          </w:p>
        </w:tc>
        <w:tc>
          <w:tcPr>
            <w:tcW w:w="3654" w:type="dxa"/>
            <w:tcBorders/>
            <w:vAlign w:val="center"/>
          </w:tcPr>
          <w:p>
            <w:pPr>
              <w:pStyle w:val="TableContents"/>
              <w:bidi w:val="0"/>
              <w:spacing w:before="0" w:after="140"/>
              <w:jc w:val="start"/>
              <w:rPr/>
            </w:pPr>
            <w:r>
              <w:rPr/>
              <w:t>401 unauthenticated</w:t>
            </w:r>
          </w:p>
        </w:tc>
      </w:tr>
      <w:tr>
        <w:trPr/>
        <w:tc>
          <w:tcPr>
            <w:tcW w:w="3692" w:type="dxa"/>
            <w:tcBorders/>
            <w:vAlign w:val="center"/>
          </w:tcPr>
          <w:p>
            <w:pPr>
              <w:pStyle w:val="TableContents"/>
              <w:bidi w:val="0"/>
              <w:spacing w:before="0" w:after="140"/>
              <w:jc w:val="start"/>
              <w:rPr/>
            </w:pPr>
            <w:r>
              <w:rPr>
                <w:rStyle w:val="SourceText"/>
              </w:rPr>
              <w:t>GET /api/trips?origin=&amp;destination=&amp;date=</w:t>
            </w:r>
          </w:p>
        </w:tc>
        <w:tc>
          <w:tcPr>
            <w:tcW w:w="2406" w:type="dxa"/>
            <w:tcBorders/>
            <w:vAlign w:val="center"/>
          </w:tcPr>
          <w:p>
            <w:pPr>
              <w:pStyle w:val="TableContents"/>
              <w:bidi w:val="0"/>
              <w:spacing w:before="0" w:after="140"/>
              <w:jc w:val="start"/>
              <w:rPr/>
            </w:pPr>
            <w:r>
              <w:rPr/>
              <w:t>200 ordered trips</w:t>
            </w:r>
          </w:p>
        </w:tc>
        <w:tc>
          <w:tcPr>
            <w:tcW w:w="3654" w:type="dxa"/>
            <w:tcBorders/>
            <w:vAlign w:val="center"/>
          </w:tcPr>
          <w:p>
            <w:pPr>
              <w:pStyle w:val="TableContents"/>
              <w:bidi w:val="0"/>
              <w:spacing w:before="0" w:after="140"/>
              <w:jc w:val="start"/>
              <w:rPr/>
            </w:pPr>
            <w:r>
              <w:rPr/>
              <w:t>400 invalid query</w:t>
            </w:r>
          </w:p>
        </w:tc>
      </w:tr>
      <w:tr>
        <w:trPr/>
        <w:tc>
          <w:tcPr>
            <w:tcW w:w="3692" w:type="dxa"/>
            <w:tcBorders/>
            <w:vAlign w:val="center"/>
          </w:tcPr>
          <w:p>
            <w:pPr>
              <w:pStyle w:val="TableContents"/>
              <w:bidi w:val="0"/>
              <w:spacing w:before="0" w:after="140"/>
              <w:jc w:val="start"/>
              <w:rPr/>
            </w:pPr>
            <w:r>
              <w:rPr>
                <w:rStyle w:val="SourceText"/>
              </w:rPr>
              <w:t>GET /api/trips/{id}/availability</w:t>
            </w:r>
          </w:p>
        </w:tc>
        <w:tc>
          <w:tcPr>
            <w:tcW w:w="2406" w:type="dxa"/>
            <w:tcBorders/>
            <w:vAlign w:val="center"/>
          </w:tcPr>
          <w:p>
            <w:pPr>
              <w:pStyle w:val="TableContents"/>
              <w:bidi w:val="0"/>
              <w:spacing w:before="0" w:after="140"/>
              <w:jc w:val="start"/>
              <w:rPr/>
            </w:pPr>
            <w:r>
              <w:rPr/>
              <w:t>200 availability</w:t>
            </w:r>
          </w:p>
        </w:tc>
        <w:tc>
          <w:tcPr>
            <w:tcW w:w="3654" w:type="dxa"/>
            <w:tcBorders/>
            <w:vAlign w:val="center"/>
          </w:tcPr>
          <w:p>
            <w:pPr>
              <w:pStyle w:val="TableContents"/>
              <w:bidi w:val="0"/>
              <w:spacing w:before="0" w:after="140"/>
              <w:jc w:val="start"/>
              <w:rPr/>
            </w:pPr>
            <w:r>
              <w:rPr/>
              <w:t>404 missing</w:t>
            </w:r>
          </w:p>
        </w:tc>
      </w:tr>
      <w:tr>
        <w:trPr/>
        <w:tc>
          <w:tcPr>
            <w:tcW w:w="3692" w:type="dxa"/>
            <w:tcBorders/>
            <w:vAlign w:val="center"/>
          </w:tcPr>
          <w:p>
            <w:pPr>
              <w:pStyle w:val="TableContents"/>
              <w:bidi w:val="0"/>
              <w:spacing w:before="0" w:after="140"/>
              <w:jc w:val="start"/>
              <w:rPr/>
            </w:pPr>
            <w:r>
              <w:rPr>
                <w:rStyle w:val="SourceText"/>
              </w:rPr>
              <w:t>POST /api/bookings</w:t>
            </w:r>
            <w:r>
              <w:rPr/>
              <w:t xml:space="preserve"> + </w:t>
            </w:r>
            <w:r>
              <w:rPr>
                <w:rStyle w:val="SourceText"/>
              </w:rPr>
              <w:t>Idempotency-Key</w:t>
            </w:r>
          </w:p>
        </w:tc>
        <w:tc>
          <w:tcPr>
            <w:tcW w:w="2406" w:type="dxa"/>
            <w:tcBorders/>
            <w:vAlign w:val="center"/>
          </w:tcPr>
          <w:p>
            <w:pPr>
              <w:pStyle w:val="TableContents"/>
              <w:bidi w:val="0"/>
              <w:spacing w:before="0" w:after="140"/>
              <w:jc w:val="start"/>
              <w:rPr/>
            </w:pPr>
            <w:r>
              <w:rPr/>
              <w:t>201 PNR/seat/status</w:t>
            </w:r>
          </w:p>
        </w:tc>
        <w:tc>
          <w:tcPr>
            <w:tcW w:w="3654" w:type="dxa"/>
            <w:tcBorders/>
            <w:vAlign w:val="center"/>
          </w:tcPr>
          <w:p>
            <w:pPr>
              <w:pStyle w:val="TableContents"/>
              <w:bidi w:val="0"/>
              <w:spacing w:before="0" w:after="140"/>
              <w:jc w:val="start"/>
              <w:rPr/>
            </w:pPr>
            <w:r>
              <w:rPr/>
              <w:t>402 simulated payment failure; 409 unavailable</w:t>
            </w:r>
          </w:p>
        </w:tc>
      </w:tr>
      <w:tr>
        <w:trPr/>
        <w:tc>
          <w:tcPr>
            <w:tcW w:w="3692" w:type="dxa"/>
            <w:tcBorders/>
            <w:vAlign w:val="center"/>
          </w:tcPr>
          <w:p>
            <w:pPr>
              <w:pStyle w:val="TableContents"/>
              <w:bidi w:val="0"/>
              <w:spacing w:before="0" w:after="140"/>
              <w:jc w:val="start"/>
              <w:rPr/>
            </w:pPr>
            <w:r>
              <w:rPr>
                <w:rStyle w:val="SourceText"/>
              </w:rPr>
              <w:t>GET /api/bookings</w:t>
            </w:r>
          </w:p>
        </w:tc>
        <w:tc>
          <w:tcPr>
            <w:tcW w:w="2406" w:type="dxa"/>
            <w:tcBorders/>
            <w:vAlign w:val="center"/>
          </w:tcPr>
          <w:p>
            <w:pPr>
              <w:pStyle w:val="TableContents"/>
              <w:bidi w:val="0"/>
              <w:spacing w:before="0" w:after="140"/>
              <w:jc w:val="start"/>
              <w:rPr/>
            </w:pPr>
            <w:r>
              <w:rPr/>
              <w:t>200 caller-owned records</w:t>
            </w:r>
          </w:p>
        </w:tc>
        <w:tc>
          <w:tcPr>
            <w:tcW w:w="3654" w:type="dxa"/>
            <w:tcBorders/>
            <w:vAlign w:val="center"/>
          </w:tcPr>
          <w:p>
            <w:pPr>
              <w:pStyle w:val="TableContents"/>
              <w:bidi w:val="0"/>
              <w:spacing w:before="0" w:after="140"/>
              <w:jc w:val="start"/>
              <w:rPr/>
            </w:pPr>
            <w:r>
              <w:rPr/>
              <w:t>401 unauthenticated</w:t>
            </w:r>
          </w:p>
        </w:tc>
      </w:tr>
      <w:tr>
        <w:trPr/>
        <w:tc>
          <w:tcPr>
            <w:tcW w:w="3692" w:type="dxa"/>
            <w:tcBorders/>
            <w:vAlign w:val="center"/>
          </w:tcPr>
          <w:p>
            <w:pPr>
              <w:pStyle w:val="TableContents"/>
              <w:bidi w:val="0"/>
              <w:spacing w:before="0" w:after="140"/>
              <w:jc w:val="start"/>
              <w:rPr/>
            </w:pPr>
            <w:r>
              <w:rPr>
                <w:rStyle w:val="SourceText"/>
              </w:rPr>
              <w:t>POST /api/bookings/{id}/cancel</w:t>
            </w:r>
          </w:p>
        </w:tc>
        <w:tc>
          <w:tcPr>
            <w:tcW w:w="2406" w:type="dxa"/>
            <w:tcBorders/>
            <w:vAlign w:val="center"/>
          </w:tcPr>
          <w:p>
            <w:pPr>
              <w:pStyle w:val="TableContents"/>
              <w:bidi w:val="0"/>
              <w:spacing w:before="0" w:after="140"/>
              <w:jc w:val="start"/>
              <w:rPr/>
            </w:pPr>
            <w:r>
              <w:rPr/>
              <w:t>200 cancellation/refund status</w:t>
            </w:r>
          </w:p>
        </w:tc>
        <w:tc>
          <w:tcPr>
            <w:tcW w:w="3654" w:type="dxa"/>
            <w:tcBorders/>
            <w:vAlign w:val="center"/>
          </w:tcPr>
          <w:p>
            <w:pPr>
              <w:pStyle w:val="TableContents"/>
              <w:bidi w:val="0"/>
              <w:spacing w:before="0" w:after="140"/>
              <w:jc w:val="start"/>
              <w:rPr/>
            </w:pPr>
            <w:r>
              <w:rPr/>
              <w:t>403/404 non-owner; 409 late/ineligible</w:t>
            </w:r>
          </w:p>
        </w:tc>
      </w:tr>
      <w:tr>
        <w:trPr/>
        <w:tc>
          <w:tcPr>
            <w:tcW w:w="3692" w:type="dxa"/>
            <w:tcBorders/>
            <w:vAlign w:val="center"/>
          </w:tcPr>
          <w:p>
            <w:pPr>
              <w:pStyle w:val="TableContents"/>
              <w:bidi w:val="0"/>
              <w:spacing w:before="0" w:after="140"/>
              <w:jc w:val="start"/>
              <w:rPr/>
            </w:pPr>
            <w:r>
              <w:rPr>
                <w:rStyle w:val="SourceText"/>
              </w:rPr>
              <w:t>POST /api/admin/trips</w:t>
            </w:r>
          </w:p>
        </w:tc>
        <w:tc>
          <w:tcPr>
            <w:tcW w:w="2406" w:type="dxa"/>
            <w:tcBorders/>
            <w:vAlign w:val="center"/>
          </w:tcPr>
          <w:p>
            <w:pPr>
              <w:pStyle w:val="TableContents"/>
              <w:bidi w:val="0"/>
              <w:spacing w:before="0" w:after="140"/>
              <w:jc w:val="start"/>
              <w:rPr/>
            </w:pPr>
            <w:r>
              <w:rPr/>
              <w:t>201</w:t>
            </w:r>
          </w:p>
        </w:tc>
        <w:tc>
          <w:tcPr>
            <w:tcW w:w="3654" w:type="dxa"/>
            <w:tcBorders/>
            <w:vAlign w:val="center"/>
          </w:tcPr>
          <w:p>
            <w:pPr>
              <w:pStyle w:val="TableContents"/>
              <w:bidi w:val="0"/>
              <w:spacing w:before="0" w:after="140"/>
              <w:jc w:val="start"/>
              <w:rPr/>
            </w:pPr>
            <w:r>
              <w:rPr/>
              <w:t>403 non-admin; 409 conflict</w:t>
            </w:r>
          </w:p>
        </w:tc>
      </w:tr>
      <w:tr>
        <w:trPr/>
        <w:tc>
          <w:tcPr>
            <w:tcW w:w="3692" w:type="dxa"/>
            <w:tcBorders/>
            <w:vAlign w:val="center"/>
          </w:tcPr>
          <w:p>
            <w:pPr>
              <w:pStyle w:val="TableContents"/>
              <w:bidi w:val="0"/>
              <w:spacing w:before="0" w:after="140"/>
              <w:jc w:val="start"/>
              <w:rPr/>
            </w:pPr>
            <w:r>
              <w:rPr>
                <w:rStyle w:val="SourceText"/>
              </w:rPr>
              <w:t>PATCH /api/admin/trips/{id}</w:t>
            </w:r>
          </w:p>
        </w:tc>
        <w:tc>
          <w:tcPr>
            <w:tcW w:w="2406" w:type="dxa"/>
            <w:tcBorders/>
            <w:vAlign w:val="center"/>
          </w:tcPr>
          <w:p>
            <w:pPr>
              <w:pStyle w:val="TableContents"/>
              <w:bidi w:val="0"/>
              <w:spacing w:before="0" w:after="140"/>
              <w:jc w:val="start"/>
              <w:rPr/>
            </w:pPr>
            <w:r>
              <w:rPr/>
              <w:t>200</w:t>
            </w:r>
          </w:p>
        </w:tc>
        <w:tc>
          <w:tcPr>
            <w:tcW w:w="3654" w:type="dxa"/>
            <w:tcBorders/>
            <w:vAlign w:val="center"/>
          </w:tcPr>
          <w:p>
            <w:pPr>
              <w:pStyle w:val="TableContents"/>
              <w:bidi w:val="0"/>
              <w:spacing w:before="0" w:after="140"/>
              <w:jc w:val="start"/>
              <w:rPr/>
            </w:pPr>
            <w:r>
              <w:rPr/>
              <w:t>403; 404; 409</w:t>
            </w:r>
          </w:p>
        </w:tc>
      </w:tr>
      <w:tr>
        <w:trPr/>
        <w:tc>
          <w:tcPr>
            <w:tcW w:w="3692" w:type="dxa"/>
            <w:tcBorders/>
            <w:vAlign w:val="center"/>
          </w:tcPr>
          <w:p>
            <w:pPr>
              <w:pStyle w:val="TableContents"/>
              <w:bidi w:val="0"/>
              <w:spacing w:before="0" w:after="140"/>
              <w:jc w:val="start"/>
              <w:rPr/>
            </w:pPr>
            <w:r>
              <w:rPr>
                <w:rStyle w:val="SourceText"/>
              </w:rPr>
              <w:t>DELETE /api/admin/trips/{id}</w:t>
            </w:r>
          </w:p>
        </w:tc>
        <w:tc>
          <w:tcPr>
            <w:tcW w:w="2406" w:type="dxa"/>
            <w:tcBorders/>
            <w:vAlign w:val="center"/>
          </w:tcPr>
          <w:p>
            <w:pPr>
              <w:pStyle w:val="TableContents"/>
              <w:bidi w:val="0"/>
              <w:spacing w:before="0" w:after="140"/>
              <w:jc w:val="start"/>
              <w:rPr/>
            </w:pPr>
            <w:r>
              <w:rPr/>
              <w:t>204 disable</w:t>
            </w:r>
          </w:p>
        </w:tc>
        <w:tc>
          <w:tcPr>
            <w:tcW w:w="3654" w:type="dxa"/>
            <w:tcBorders/>
            <w:vAlign w:val="center"/>
          </w:tcPr>
          <w:p>
            <w:pPr>
              <w:pStyle w:val="TableContents"/>
              <w:bidi w:val="0"/>
              <w:spacing w:before="0" w:after="140"/>
              <w:jc w:val="start"/>
              <w:rPr/>
            </w:pPr>
            <w:r>
              <w:rPr/>
              <w:t>403; 404</w:t>
            </w:r>
          </w:p>
        </w:tc>
      </w:tr>
      <w:tr>
        <w:trPr/>
        <w:tc>
          <w:tcPr>
            <w:tcW w:w="3692" w:type="dxa"/>
            <w:tcBorders/>
            <w:vAlign w:val="center"/>
          </w:tcPr>
          <w:p>
            <w:pPr>
              <w:pStyle w:val="TableContents"/>
              <w:bidi w:val="0"/>
              <w:spacing w:before="0" w:after="140"/>
              <w:jc w:val="start"/>
              <w:rPr/>
            </w:pPr>
            <w:r>
              <w:rPr>
                <w:rStyle w:val="SourceText"/>
              </w:rPr>
              <w:t>GET /api/admin/audit</w:t>
            </w:r>
          </w:p>
        </w:tc>
        <w:tc>
          <w:tcPr>
            <w:tcW w:w="2406" w:type="dxa"/>
            <w:tcBorders/>
            <w:vAlign w:val="center"/>
          </w:tcPr>
          <w:p>
            <w:pPr>
              <w:pStyle w:val="TableContents"/>
              <w:bidi w:val="0"/>
              <w:spacing w:before="0" w:after="140"/>
              <w:jc w:val="start"/>
              <w:rPr/>
            </w:pPr>
            <w:r>
              <w:rPr/>
              <w:t>200 events</w:t>
            </w:r>
          </w:p>
        </w:tc>
        <w:tc>
          <w:tcPr>
            <w:tcW w:w="3654" w:type="dxa"/>
            <w:tcBorders/>
            <w:vAlign w:val="center"/>
          </w:tcPr>
          <w:p>
            <w:pPr>
              <w:pStyle w:val="TableContents"/>
              <w:bidi w:val="0"/>
              <w:spacing w:before="0" w:after="140"/>
              <w:jc w:val="start"/>
              <w:rPr/>
            </w:pPr>
            <w:r>
              <w:rPr/>
              <w:t>403 non-admin</w:t>
            </w:r>
          </w:p>
        </w:tc>
      </w:tr>
    </w:tbl>
    <w:p>
      <w:pPr>
        <w:pStyle w:val="BodyText"/>
        <w:bidi w:val="0"/>
        <w:spacing w:before="0" w:after="140"/>
        <w:rPr/>
      </w:pPr>
      <w:r>
        <w:rPr/>
        <w:t>Request and response bodies are JSON. Dates use ISO 8601 with an explicit UTC offset. Mutating operations attach a request ID to their audit event.</w:t>
      </w:r>
    </w:p>
    <w:p>
      <w:pPr>
        <w:pStyle w:val="Heading2"/>
        <w:bidi w:val="0"/>
        <w:ind w:hanging="0" w:start="0" w:end="0"/>
        <w:rPr/>
      </w:pPr>
      <w:bookmarkStart w:id="11" w:name="errors"/>
      <w:bookmarkEnd w:id="11"/>
      <w:r>
        <w:rPr/>
        <w:t>3.4 Error Handling and State Rules</w:t>
      </w:r>
    </w:p>
    <w:p>
      <w:pPr>
        <w:pStyle w:val="BodyText"/>
        <w:bidi w:val="0"/>
        <w:spacing w:before="0" w:after="140"/>
        <w:rPr/>
      </w:pPr>
      <w:r>
        <w:rPr/>
        <w:t xml:space="preserve">Errors use </w:t>
      </w:r>
      <w:r>
        <w:rPr>
          <w:rStyle w:val="SourceText"/>
        </w:rPr>
        <w:t>{"code":"...","message":"...","requestId":"..."}</w:t>
      </w:r>
      <w:r>
        <w:rPr/>
        <w:t>. Validation uses 400, unauthenticated 401, forbidden 403, missing 404, state conflict 409, lockout 429 and unexpected failure 500. Responses never contain passwords, tokens, SQL or stack traces.</w:t>
      </w:r>
    </w:p>
    <w:tbl>
      <w:tblPr>
        <w:tblW w:w="9752" w:type="dxa"/>
        <w:jc w:val="start"/>
        <w:tblInd w:w="0" w:type="dxa"/>
        <w:tblLayout w:type="fixed"/>
        <w:tblCellMar>
          <w:top w:w="28" w:type="dxa"/>
          <w:start w:w="28" w:type="dxa"/>
          <w:bottom w:w="28" w:type="dxa"/>
          <w:end w:w="28" w:type="dxa"/>
        </w:tblCellMar>
      </w:tblPr>
      <w:tblGrid>
        <w:gridCol w:w="3293"/>
        <w:gridCol w:w="6459"/>
      </w:tblGrid>
      <w:tr>
        <w:trPr/>
        <w:tc>
          <w:tcPr>
            <w:tcW w:w="3293" w:type="dxa"/>
            <w:tcBorders/>
            <w:vAlign w:val="center"/>
          </w:tcPr>
          <w:p>
            <w:pPr>
              <w:pStyle w:val="TableHeading"/>
              <w:suppressLineNumbers/>
              <w:bidi w:val="0"/>
              <w:spacing w:before="0" w:after="140"/>
              <w:jc w:val="start"/>
              <w:rPr/>
            </w:pPr>
            <w:r>
              <w:rPr/>
              <w:t>State rule</w:t>
            </w:r>
          </w:p>
        </w:tc>
        <w:tc>
          <w:tcPr>
            <w:tcW w:w="6459" w:type="dxa"/>
            <w:tcBorders/>
            <w:vAlign w:val="center"/>
          </w:tcPr>
          <w:p>
            <w:pPr>
              <w:pStyle w:val="TableHeading"/>
              <w:suppressLineNumbers/>
              <w:bidi w:val="0"/>
              <w:spacing w:before="0" w:after="140"/>
              <w:jc w:val="start"/>
              <w:rPr/>
            </w:pPr>
            <w:r>
              <w:rPr/>
              <w:t>Enforcement</w:t>
            </w:r>
          </w:p>
        </w:tc>
      </w:tr>
      <w:tr>
        <w:trPr/>
        <w:tc>
          <w:tcPr>
            <w:tcW w:w="3293" w:type="dxa"/>
            <w:tcBorders/>
            <w:vAlign w:val="center"/>
          </w:tcPr>
          <w:p>
            <w:pPr>
              <w:pStyle w:val="TableContents"/>
              <w:bidi w:val="0"/>
              <w:spacing w:before="0" w:after="140"/>
              <w:jc w:val="start"/>
              <w:rPr/>
            </w:pPr>
            <w:r>
              <w:rPr/>
              <w:t>Booking: pending → confirmed or failed</w:t>
            </w:r>
          </w:p>
        </w:tc>
        <w:tc>
          <w:tcPr>
            <w:tcW w:w="6459" w:type="dxa"/>
            <w:tcBorders/>
            <w:vAlign w:val="center"/>
          </w:tcPr>
          <w:p>
            <w:pPr>
              <w:pStyle w:val="TableContents"/>
              <w:bidi w:val="0"/>
              <w:spacing w:before="0" w:after="140"/>
              <w:jc w:val="start"/>
              <w:rPr/>
            </w:pPr>
            <w:r>
              <w:rPr/>
              <w:t>Transaction-controlled; failed cannot become confirmed without a new request.</w:t>
            </w:r>
          </w:p>
        </w:tc>
      </w:tr>
      <w:tr>
        <w:trPr/>
        <w:tc>
          <w:tcPr>
            <w:tcW w:w="3293" w:type="dxa"/>
            <w:tcBorders/>
            <w:vAlign w:val="center"/>
          </w:tcPr>
          <w:p>
            <w:pPr>
              <w:pStyle w:val="TableContents"/>
              <w:bidi w:val="0"/>
              <w:spacing w:before="0" w:after="140"/>
              <w:jc w:val="start"/>
              <w:rPr/>
            </w:pPr>
            <w:r>
              <w:rPr/>
              <w:t>Booking: confirmed → cancelled</w:t>
            </w:r>
          </w:p>
        </w:tc>
        <w:tc>
          <w:tcPr>
            <w:tcW w:w="6459" w:type="dxa"/>
            <w:tcBorders/>
            <w:vAlign w:val="center"/>
          </w:tcPr>
          <w:p>
            <w:pPr>
              <w:pStyle w:val="TableContents"/>
              <w:bidi w:val="0"/>
              <w:spacing w:before="0" w:after="140"/>
              <w:jc w:val="start"/>
              <w:rPr/>
            </w:pPr>
            <w:r>
              <w:rPr/>
              <w:t>Owner, state and departure checks; no transition back to confirmed.</w:t>
            </w:r>
          </w:p>
        </w:tc>
      </w:tr>
      <w:tr>
        <w:trPr/>
        <w:tc>
          <w:tcPr>
            <w:tcW w:w="3293" w:type="dxa"/>
            <w:tcBorders/>
            <w:vAlign w:val="center"/>
          </w:tcPr>
          <w:p>
            <w:pPr>
              <w:pStyle w:val="TableContents"/>
              <w:bidi w:val="0"/>
              <w:spacing w:before="0" w:after="140"/>
              <w:jc w:val="start"/>
              <w:rPr/>
            </w:pPr>
            <w:r>
              <w:rPr/>
              <w:t>Seat allocation</w:t>
            </w:r>
          </w:p>
        </w:tc>
        <w:tc>
          <w:tcPr>
            <w:tcW w:w="6459" w:type="dxa"/>
            <w:tcBorders/>
            <w:vAlign w:val="center"/>
          </w:tcPr>
          <w:p>
            <w:pPr>
              <w:pStyle w:val="TableContents"/>
              <w:bidi w:val="0"/>
              <w:spacing w:before="0" w:after="140"/>
              <w:jc w:val="start"/>
              <w:rPr/>
            </w:pPr>
            <w:r>
              <w:rPr/>
              <w:t>Lock plus database uniqueness; transaction rollback prevents partial allocation.</w:t>
            </w:r>
          </w:p>
        </w:tc>
      </w:tr>
      <w:tr>
        <w:trPr/>
        <w:tc>
          <w:tcPr>
            <w:tcW w:w="3293" w:type="dxa"/>
            <w:tcBorders/>
            <w:vAlign w:val="center"/>
          </w:tcPr>
          <w:p>
            <w:pPr>
              <w:pStyle w:val="TableContents"/>
              <w:bidi w:val="0"/>
              <w:spacing w:before="0" w:after="140"/>
              <w:jc w:val="start"/>
              <w:rPr/>
            </w:pPr>
            <w:r>
              <w:rPr/>
              <w:t>Duplicate request</w:t>
            </w:r>
          </w:p>
        </w:tc>
        <w:tc>
          <w:tcPr>
            <w:tcW w:w="6459" w:type="dxa"/>
            <w:tcBorders/>
            <w:vAlign w:val="center"/>
          </w:tcPr>
          <w:p>
            <w:pPr>
              <w:pStyle w:val="TableContents"/>
              <w:bidi w:val="0"/>
              <w:spacing w:before="0" w:after="140"/>
              <w:jc w:val="start"/>
              <w:rPr/>
            </w:pPr>
            <w:r>
              <w:rPr/>
              <w:t>Caller/idempotency-key uniqueness returns the stored outcome.</w:t>
            </w:r>
          </w:p>
        </w:tc>
      </w:tr>
    </w:tbl>
    <w:p>
      <w:pPr>
        <w:pStyle w:val="Heading2"/>
        <w:bidi w:val="0"/>
        <w:ind w:hanging="0" w:start="0" w:end="0"/>
        <w:rPr/>
      </w:pPr>
      <w:bookmarkStart w:id="12" w:name="verification"/>
      <w:bookmarkEnd w:id="12"/>
      <w:r>
        <w:rPr/>
        <w:t>3.5 Design Verification</w:t>
      </w:r>
    </w:p>
    <w:p>
      <w:pPr>
        <w:pStyle w:val="BodyText"/>
        <w:bidi w:val="0"/>
        <w:spacing w:before="0" w:after="140"/>
        <w:rPr/>
      </w:pPr>
      <w:r>
        <w:rPr/>
        <w:t>TC-04, TC-05 and TC-08 verify booking transactions, idempotency and concurrency. TC-06 verifies ownership, eligibility, cancellation idempotency and booking audit. TC-07 verifies administrator separation and audit. TC-09 verifies session and restart behavior. Database constraints and endpoint contracts are reviewed against their mapped SRS identifiers before implementation.</w:t>
      </w:r>
    </w:p>
    <w:p>
      <w:pPr>
        <w:pStyle w:val="Heading1"/>
        <w:bidi w:val="0"/>
        <w:ind w:hanging="0" w:start="0" w:end="0"/>
        <w:rPr/>
      </w:pPr>
      <w:bookmarkStart w:id="13" w:name="change"/>
      <w:bookmarkEnd w:id="13"/>
      <w:r>
        <w:rPr/>
        <w:t>4. References and Change Control</w:t>
      </w:r>
    </w:p>
    <w:p>
      <w:pPr>
        <w:pStyle w:val="BodyText"/>
        <w:bidi w:val="0"/>
        <w:spacing w:before="0" w:after="140"/>
        <w:rPr/>
      </w:pPr>
      <w:r>
        <w:rPr>
          <w:rStyle w:val="Strong"/>
        </w:rPr>
        <w:t>References:</w:t>
      </w:r>
      <w:r>
        <w:rPr/>
        <w:t xml:space="preserve"> Team E15 RRS SRS v1.1; IEEE 1016:2009 software design description guidance; ISO/IEC/IEEE 29119-3:2021 test documentation guidance.</w:t>
      </w:r>
    </w:p>
    <w:p>
      <w:pPr>
        <w:pStyle w:val="BodyText"/>
        <w:bidi w:val="0"/>
        <w:spacing w:before="0" w:after="140"/>
        <w:rPr/>
      </w:pPr>
      <w:r>
        <w:rPr/>
        <w:t>Any change to an FR, NFR or SEC identifier requires review of component mapping, API contracts, state invariants, security controls and test coverage.</w:t>
      </w:r>
    </w:p>
    <w:sectPr>
      <w:type w:val="nextPage"/>
      <w:pgSz w:w="11906" w:h="16838"/>
      <w:pgMar w:left="1134" w:right="1020" w:gutter="0" w:header="0" w:top="1020" w:footer="0" w:bottom="1077"/>
      <w:pgNumType w:fmt="decimal"/>
      <w:formProt w:val="false"/>
      <w:textDirection w:val="lrTb"/>
      <w:docGrid w:type="default" w:linePitch="600" w:charSpace="39935"/>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auto"/>
    <w:pitch w:val="default"/>
  </w:font>
  <w:font w:name="Liberation Mono">
    <w:altName w:val="Courier New"/>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1134"/>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41"/>
    </w:pPr>
    <w:rPr>
      <w:rFonts w:ascii="Liberation Sans;Arial;sans-serif" w:hAnsi="Liberation Sans;Arial;sans-serif" w:eastAsia="Liberation Sans;Arial;sans-serif" w:cs="Liberation Sans;Arial;sans-serif"/>
      <w:color w:val="17212B"/>
      <w:sz w:val="21"/>
      <w:szCs w:val="21"/>
      <w:lang w:val="en-US" w:eastAsia="zh-CN" w:bidi="hi-IN"/>
    </w:rPr>
  </w:style>
  <w:style w:type="paragraph" w:styleId="Heading1">
    <w:name w:val="heading 1"/>
    <w:basedOn w:val="Heading"/>
    <w:next w:val="BodyText"/>
    <w:qFormat/>
    <w:pPr>
      <w:keepNext w:val="true"/>
      <w:pBdr>
        <w:bottom w:val="single" w:sz="12" w:space="4" w:color="1F6F8B"/>
      </w:pBdr>
      <w:spacing w:before="440" w:after="200"/>
      <w:ind w:start="440" w:end="440"/>
    </w:pPr>
    <w:rPr>
      <w:b/>
      <w:bCs/>
      <w:color w:val="143A5A"/>
      <w:sz w:val="36"/>
      <w:szCs w:val="36"/>
    </w:rPr>
  </w:style>
  <w:style w:type="paragraph" w:styleId="Heading2">
    <w:name w:val="heading 2"/>
    <w:basedOn w:val="Heading"/>
    <w:next w:val="BodyText"/>
    <w:qFormat/>
    <w:pPr>
      <w:keepNext w:val="true"/>
      <w:numPr>
        <w:ilvl w:val="0"/>
        <w:numId w:val="0"/>
      </w:numPr>
      <w:spacing w:before="340" w:after="140"/>
      <w:ind w:start="340" w:end="340"/>
      <w:outlineLvl w:val="1"/>
    </w:pPr>
    <w:rPr>
      <w:rFonts w:ascii="Liberation Serif" w:hAnsi="Liberation Serif" w:eastAsia="Noto Serif CJK SC" w:cs="FreeSans"/>
      <w:b/>
      <w:bCs/>
      <w:color w:val="143A5A"/>
      <w:sz w:val="28"/>
      <w:szCs w:val="28"/>
    </w:rPr>
  </w:style>
  <w:style w:type="paragraph" w:styleId="Heading3">
    <w:name w:val="heading 3"/>
    <w:basedOn w:val="Heading"/>
    <w:next w:val="BodyText"/>
    <w:qFormat/>
    <w:pPr>
      <w:keepNext w:val="true"/>
      <w:numPr>
        <w:ilvl w:val="0"/>
        <w:numId w:val="0"/>
      </w:numPr>
      <w:spacing w:before="260" w:after="100"/>
      <w:ind w:start="260" w:end="260"/>
      <w:outlineLvl w:val="2"/>
    </w:pPr>
    <w:rPr>
      <w:rFonts w:ascii="Liberation Serif" w:hAnsi="Liberation Serif" w:eastAsia="Noto Serif CJK SC" w:cs="FreeSans"/>
      <w:b/>
      <w:bCs/>
      <w:color w:val="143A5A"/>
      <w:sz w:val="23"/>
      <w:szCs w:val="23"/>
    </w:rPr>
  </w:style>
  <w:style w:type="paragraph" w:styleId="Heading4">
    <w:name w:val="heading 4"/>
    <w:basedOn w:val="Heading"/>
    <w:next w:val="BodyText"/>
    <w:qFormat/>
    <w:pPr>
      <w:keepNext w:val="true"/>
      <w:numPr>
        <w:ilvl w:val="0"/>
        <w:numId w:val="0"/>
      </w:numPr>
      <w:spacing w:before="200" w:after="80"/>
      <w:ind w:start="200" w:end="200"/>
      <w:outlineLvl w:val="3"/>
    </w:pPr>
    <w:rPr>
      <w:rFonts w:ascii="Liberation Serif" w:hAnsi="Liberation Serif" w:eastAsia="Noto Serif CJK SC" w:cs="FreeSans"/>
      <w:b/>
      <w:bCs/>
      <w:color w:val="143A5A"/>
      <w:sz w:val="21"/>
      <w:szCs w:val="21"/>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Liberation Mono;monospace" w:hAnsi="Liberation Mono;monospace" w:eastAsia="Liberation Mono;monospace" w:cs="Liberation Mono;monospace"/>
      <w:color w:val="7A2448"/>
      <w:sz w:val="18"/>
      <w:szCs w:val="18"/>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0" w:after="140"/>
    </w:pPr>
    <w:rPr/>
  </w:style>
  <w:style w:type="paragraph" w:styleId="EnvelopeReturn">
    <w:name w:val="envelope return"/>
    <w:basedOn w:val="Normal"/>
    <w:pPr/>
    <w:rPr>
      <w:i/>
    </w:rPr>
  </w:style>
  <w:style w:type="paragraph" w:styleId="TableContents">
    <w:name w:val="Table Contents"/>
    <w:basedOn w:val="BodyText"/>
    <w:qFormat/>
    <w:pPr>
      <w:jc w:val="star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TableHeading">
    <w:name w:val="Table Heading"/>
    <w:basedOn w:val="TableContents"/>
    <w:qFormat/>
    <w:pPr>
      <w:suppressLineNumbers/>
      <w:jc w:val="start"/>
    </w:pPr>
    <w:rPr>
      <w:b/>
      <w:bCs/>
      <w:color w:val="143A5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components.png"/><Relationship Id="rId3" Type="http://schemas.openxmlformats.org/officeDocument/2006/relationships/image" Target="media/sequence_booking.png"/><Relationship Id="rId4" Type="http://schemas.openxmlformats.org/officeDocument/2006/relationships/image" Target="media/sequence_cancellation.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ages>1</Pages>
  <Words>1249</Words>
  <Characters>8173</Characters>
  <CharactersWithSpaces>9217</CharactersWithSpaces>
  <Paragraphs>196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Software Architecture and Design Specification — Railway Reservation System</dc:title>
</cp:coreProperties>
</file>

<file path=docProps/custom.xml><?xml version="1.0" encoding="utf-8"?>
<Properties xmlns="http://schemas.openxmlformats.org/officeDocument/2006/custom-properties" xmlns:vt="http://schemas.openxmlformats.org/officeDocument/2006/docPropsVTypes"/>
</file>