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Software Engineering Mini Project · Team E15</w:t>
      </w:r>
    </w:p>
    <w:p>
      <w:pPr>
        <w:pStyle w:val="Heading1"/>
        <w:keepNext w:val="true"/>
        <w:pBdr>
          <w:bottom w:val="single" w:sz="12" w:space="4" w:color="1F6F8B"/>
        </w:pBdr>
        <w:bidi w:val="0"/>
        <w:spacing w:before="440" w:after="200"/>
        <w:ind w:start="440" w:end="440"/>
        <w:rPr/>
      </w:pPr>
      <w:r>
        <w:rPr/>
        <w:t>Test Case Update</w:t>
      </w:r>
    </w:p>
    <w:p>
      <w:pPr>
        <w:pStyle w:val="BodyText"/>
        <w:bidi w:val="0"/>
        <w:spacing w:before="0" w:after="0"/>
        <w:rPr/>
      </w:pPr>
      <w:r>
        <w:rPr/>
        <w:t>Railway Reservation System · Test Plan §5.2</w:t>
      </w:r>
    </w:p>
    <w:p>
      <w:pPr>
        <w:pStyle w:val="BodyText"/>
        <w:bidi w:val="0"/>
        <w:spacing w:before="0" w:after="0"/>
        <w:rPr/>
      </w:pPr>
      <w:r>
        <w:rPr/>
        <w:t>Prepared by Muhammad Affan Dumba</w:t>
      </w:r>
    </w:p>
    <w:p>
      <w:pPr>
        <w:pStyle w:val="BodyText"/>
        <w:bidi w:val="0"/>
        <w:spacing w:before="0" w:after="0"/>
        <w:rPr/>
      </w:pPr>
      <w:r>
        <w:rPr/>
        <w:t>PES1UG24CS280</w:t>
        <w:br/>
        <w:t>Version 1.1 · 29 September 2026</w:t>
        <w:br/>
        <w:t>Standalone role-specific copy</w:t>
      </w:r>
    </w:p>
    <w:p>
      <w:pPr>
        <w:pStyle w:val="BodyText"/>
        <w:bidi w:val="0"/>
        <w:spacing w:before="0" w:after="140"/>
        <w:rPr/>
      </w:pPr>
      <w:r>
        <w:rPr/>
        <w:t>Submission Copy</w:t>
      </w:r>
    </w:p>
    <w:p>
      <w:pPr>
        <w:pStyle w:val="Heading1"/>
        <w:keepNext w:val="true"/>
        <w:pBdr>
          <w:bottom w:val="single" w:sz="12" w:space="4" w:color="1F6F8B"/>
        </w:pBdr>
        <w:bidi w:val="0"/>
        <w:spacing w:before="440" w:after="200"/>
        <w:ind w:start="440" w:end="440"/>
        <w:rPr/>
      </w:pPr>
      <w:r>
        <w:rPr/>
        <w:t>Document Control</w:t>
      </w:r>
    </w:p>
    <w:tbl>
      <w:tblPr>
        <w:tblW w:w="64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5"/>
        <w:gridCol w:w="4595"/>
      </w:tblGrid>
      <w:tr>
        <w:trPr/>
        <w:tc>
          <w:tcPr>
            <w:tcW w:w="18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Document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Test Case Update (Deliverable 4)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Parent document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RRS Test Plan v1.1, §5.2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Owner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Muhammad Affan Dumba — PES1UG24CS280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Team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Team E15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Version / status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1.1 / Submission copy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Date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29 September 2026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Revision History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1"/>
        <w:gridCol w:w="936"/>
        <w:gridCol w:w="6020"/>
        <w:gridCol w:w="1905"/>
      </w:tblGrid>
      <w:tr>
        <w:trPr/>
        <w:tc>
          <w:tcPr>
            <w:tcW w:w="8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Version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Date</w:t>
            </w:r>
          </w:p>
        </w:tc>
        <w:tc>
          <w:tcPr>
            <w:tcW w:w="602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Change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Author</w:t>
            </w:r>
          </w:p>
        </w:tc>
      </w:tr>
      <w:tr>
        <w:trPr/>
        <w:tc>
          <w:tcPr>
            <w:tcW w:w="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1.0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29 Sep 2026</w:t>
            </w:r>
          </w:p>
        </w:tc>
        <w:tc>
          <w:tcPr>
            <w:tcW w:w="602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Ten functional, non-functional and security case specifications.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Muhammad Affan Dumba</w:t>
            </w:r>
          </w:p>
        </w:tc>
      </w:tr>
      <w:tr>
        <w:trPr/>
        <w:tc>
          <w:tcPr>
            <w:tcW w:w="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1.1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29 Sep 2026</w:t>
            </w:r>
          </w:p>
        </w:tc>
        <w:tc>
          <w:tcPr>
            <w:tcW w:w="602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Added explicit negative boundaries, hash inspection, late cancellation and booking/cancellation audit verification.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Muhammad Affan Dumba</w:t>
            </w:r>
          </w:p>
        </w:tc>
      </w:tr>
    </w:tbl>
    <w:p>
      <w:pPr>
        <w:pStyle w:val="BodyText"/>
        <w:keepLines/>
        <w:bidi w:val="0"/>
        <w:spacing w:before="160" w:after="240"/>
        <w:ind w:hanging="0" w:start="160" w:end="160"/>
        <w:rPr/>
      </w:pPr>
      <w:r>
        <w:rPr>
          <w:rStyle w:val="Strong"/>
          <w:bdr w:val="single" w:sz="5" w:space="8" w:color="9CC4D1"/>
          <w:shd w:fill="EDF6F8" w:val="clear"/>
        </w:rPr>
        <w:t>Submission relationship.</w:t>
      </w:r>
      <w:r>
        <w:rPr>
          <w:bdr w:val="single" w:sz="5" w:space="8" w:color="9CC4D1"/>
          <w:shd w:fill="EDF6F8" w:val="clear"/>
        </w:rPr>
        <w:t xml:space="preserve"> This is the separate role-specific Deliverable 4 file. Its ten cases are also incorporated into Test Plan §5.2, satisfying the instruction that the update appear in the Test Plan document.</w:t>
      </w:r>
    </w:p>
    <w:p>
      <w:pPr>
        <w:pStyle w:val="Heading1"/>
        <w:keepNext w:val="true"/>
        <w:pBdr>
          <w:bottom w:val="single" w:sz="12" w:space="4" w:color="1F6F8B"/>
        </w:pBdr>
        <w:bidi w:val="0"/>
        <w:spacing w:before="440" w:after="200"/>
        <w:ind w:start="440" w:end="440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w:anchor="purpose">
        <w:r>
          <w:rPr>
            <w:rStyle w:val="Hyperlink"/>
          </w:rPr>
          <w:t>1. Purpose and Execution Rules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w:anchor="cases">
        <w:r>
          <w:rPr>
            <w:rStyle w:val="Hyperlink"/>
          </w:rPr>
          <w:t>2. Test Cases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w:anchor="coverage">
        <w:r>
          <w:rPr>
            <w:rStyle w:val="Hyperlink"/>
          </w:rPr>
          <w:t>3. Coverage Summary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hyperlink w:anchor="record">
        <w:r>
          <w:rPr>
            <w:rStyle w:val="Hyperlink"/>
          </w:rPr>
          <w:t>4. Execution Record Requirements</w:t>
        </w:r>
      </w:hyperlink>
      <w:r>
        <w:rPr/>
        <w:t xml:space="preserve"> </w:t>
      </w:r>
    </w:p>
    <w:p>
      <w:pPr>
        <w:pStyle w:val="Heading1"/>
        <w:bidi w:val="0"/>
        <w:ind w:hanging="0" w:start="0" w:end="0"/>
        <w:rPr/>
      </w:pPr>
      <w:bookmarkStart w:id="0" w:name="purpose"/>
      <w:bookmarkEnd w:id="0"/>
      <w:r>
        <w:rPr/>
        <w:t>1. Purpose and Execution Rules</w:t>
      </w:r>
    </w:p>
    <w:p>
      <w:pPr>
        <w:pStyle w:val="BodyText"/>
        <w:bidi w:val="0"/>
        <w:spacing w:before="0" w:after="140"/>
        <w:rPr/>
      </w:pPr>
      <w:r>
        <w:rPr/>
        <w:t>This update specifies ten cases that cover the RRS functional, non-functional and security requirements. It is controlled as Test Plan §5.2 and supplied separately to identify the Deliverable 4 owner.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Use synthetic P1/P2 passenger accounts and A1 administrator; never use real passenger/payment data.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Reset independent cases to a known seed. Record build, environment, tester, date, actual result, evidence and status.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A case passes only when every expected result is observed. Redact passwords and tokens from evidence. </w:t>
      </w:r>
    </w:p>
    <w:p>
      <w:pPr>
        <w:pStyle w:val="Heading1"/>
        <w:bidi w:val="0"/>
        <w:ind w:hanging="0" w:start="0" w:end="0"/>
        <w:rPr/>
      </w:pPr>
      <w:bookmarkStart w:id="1" w:name="cases"/>
      <w:bookmarkEnd w:id="1"/>
      <w:r>
        <w:rPr/>
        <w:t>2. Test Cases</w:t>
      </w:r>
    </w:p>
    <w:p>
      <w:pPr>
        <w:pStyle w:val="Heading3"/>
        <w:keepLines/>
        <w:bidi w:val="0"/>
        <w:ind w:hanging="0" w:start="0" w:end="0"/>
        <w:rPr/>
      </w:pPr>
      <w:r>
        <w:rPr/>
        <w:t>TC-01 — Registration, Password Boundary and Credential Storage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No P1 account; authorized test-only storage/log access.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Steps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Submit 11-character password; then valid 12-character password and unique email; repeat email; inspect stored credential, response and logs.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11-character and duplicate inputs are rejected; exactly one account is created; stored value is a salted adaptive hash unequal to the password; plaintext is absent from response/logs.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FR-01; SEC-02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TC-02 — Sign-In, Lockout and Authentication Audit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P1 exists and is unlocked.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Steps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Sign in correctly and out; submit five wrong passwords within 15 minutes; attempt a sixth; inspect audit; retry valid credentials after 15 minutes.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Valid sign-in works; errors are generic; sixth attempt is rejected for 15 minutes; authentication outcomes are audited without passwords; valid access resumes after the period.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FR-02, FR-09; SEC-02, SEC-04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TC-03 — Search and Availability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Matching, nonmatching, sold-out and multiple-departure trips seeded.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Steps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Search by origin, destination and date; inspect filtering, ordering and seat counts.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Only exact matches appear in departure order; every count remains from zero through capacity.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FR-03, FR-04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TC-04 — Successful Booking, History and Audit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P1 signed in; selected trip has one free seat; simulator succeeds.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Steps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Book once; query P1 history and audit records.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One confirmed booking, unique PNR and one seat allocation; P1 history contains all required fields; confirmation audit contains actor/action/time/outcome.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FR-05, FR-06, FR-09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TC-05 — Payment Failure and Idempotent Retry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P1 signed in; one free seat; known idempotency key.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Steps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Run once with simulator failure; then use success and send the same request twice with one new idempotency key.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Failure confirms nothing and releases the hold; duplicate successes produce one booking/PNR and allocate one seat.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FR-05; NFR-03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TC-06 — Ownership, Eligible/Late Cancellation and Audit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P1 owns future and departed confirmed bookings; P2 signed in separately.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Steps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P2 reads/cancels P1’s future booking; P1 cancels it twice; P1 attempts departed-booking cancellation; inspect inventory/refund/audit.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P2 gets 403/404 without details; first eligible cancellation releases one seat with refund and audit; repeated/late attempts cause no additional inventory change.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FR-06, FR-07, FR-09; SEC-01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TC-07 — Administrator Inventory, Authorization and Audit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A1 administrator and P1 passenger exist.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Steps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P1 attempts admin create; A1 creates, edits and disables a trip; inspect state/audit.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P1 gets 403; A1 changes persist; every change audit has actor, time, action and outcome.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FR-08, FR-09; SEC-01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TC-08 — Concurrent Final Seat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Exactly one available seat; 20 authenticated passengers; simulator succeeds.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Steps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Release 20 requests simultaneously from a barrier; inspect bookings and availability.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At most one confirmation; others report unavailable; final count is zero and never negative.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FR-04, FR-05; NFR-03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TC-09 — Transport, Session and Restart Recovery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HTTPS deployment; P1 session; committed booking.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Steps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Inspect transport; sign out/replay token; wait 30 minutes idle and reuse session; restart app; query health/booking.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Authenticated traffic is HTTPS; signed-out/expired tokens fail; booking persists; health responds within 60 seconds; logs omit passwords/tokens.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NFR-04; SEC-02, SEC-03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TC-10 — Performance, Accessibility and Compatibility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10,000 trips; 50 users; current Chrome/Edge/Firefox; 375px/1280px.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Steps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Run 200 searches and 100 bookings; complete required workflows by keyboard at both widths in every browser; inspect accessible names.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≥</w:t>
            </w:r>
            <w:r>
              <w:rPr/>
              <w:t>95% searches ≤2s and bookings ≤3s under stated conditions; keyboard works; controls have accessible names; primary forms do not scroll horizontally.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NFR-01, NFR-02, NFR-05, NFR-06</w:t>
            </w:r>
          </w:p>
        </w:tc>
      </w:tr>
    </w:tbl>
    <w:p>
      <w:pPr>
        <w:pStyle w:val="Heading1"/>
        <w:bidi w:val="0"/>
        <w:ind w:hanging="0" w:start="0" w:end="0"/>
        <w:rPr/>
      </w:pPr>
      <w:bookmarkStart w:id="2" w:name="coverage"/>
      <w:bookmarkEnd w:id="2"/>
      <w:r>
        <w:rPr/>
        <w:t>3. Coverage Summary</w:t>
      </w:r>
    </w:p>
    <w:tbl>
      <w:tblPr>
        <w:tblW w:w="52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65"/>
        <w:gridCol w:w="3524"/>
      </w:tblGrid>
      <w:tr>
        <w:trPr/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Requirement set</w:t>
            </w:r>
          </w:p>
        </w:tc>
        <w:tc>
          <w:tcPr>
            <w:tcW w:w="352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Cases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FR-01–FR-03</w:t>
            </w:r>
          </w:p>
        </w:tc>
        <w:tc>
          <w:tcPr>
            <w:tcW w:w="35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TC-01–TC-03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FR-04–FR-05</w:t>
            </w:r>
          </w:p>
        </w:tc>
        <w:tc>
          <w:tcPr>
            <w:tcW w:w="35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TC-03–TC-05, TC-08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FR-06–FR-07</w:t>
            </w:r>
          </w:p>
        </w:tc>
        <w:tc>
          <w:tcPr>
            <w:tcW w:w="35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TC-04, TC-06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FR-08–FR-09</w:t>
            </w:r>
          </w:p>
        </w:tc>
        <w:tc>
          <w:tcPr>
            <w:tcW w:w="35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TC-02, TC-04, TC-06, TC-07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NFR-01–NFR-02</w:t>
            </w:r>
          </w:p>
        </w:tc>
        <w:tc>
          <w:tcPr>
            <w:tcW w:w="35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TC-10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NFR-03–NFR-04</w:t>
            </w:r>
          </w:p>
        </w:tc>
        <w:tc>
          <w:tcPr>
            <w:tcW w:w="35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TC-05, TC-08, TC-09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NFR-05–NFR-06</w:t>
            </w:r>
          </w:p>
        </w:tc>
        <w:tc>
          <w:tcPr>
            <w:tcW w:w="35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TC-10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SEC-01–SEC-04</w:t>
            </w:r>
          </w:p>
        </w:tc>
        <w:tc>
          <w:tcPr>
            <w:tcW w:w="35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TC-01, TC-02, TC-06, TC-07, TC-09</w:t>
            </w:r>
          </w:p>
        </w:tc>
      </w:tr>
    </w:tbl>
    <w:p>
      <w:pPr>
        <w:pStyle w:val="BodyText"/>
        <w:bidi w:val="0"/>
        <w:spacing w:before="0" w:after="140"/>
        <w:rPr/>
      </w:pPr>
      <w:r>
        <w:rPr/>
        <w:t>All 9 functional, 6 non-functional and 4 security requirements have planned verification within ten cases.</w:t>
      </w:r>
    </w:p>
    <w:p>
      <w:pPr>
        <w:pStyle w:val="Heading1"/>
        <w:bidi w:val="0"/>
        <w:ind w:hanging="0" w:start="0" w:end="0"/>
        <w:rPr/>
      </w:pPr>
      <w:bookmarkStart w:id="3" w:name="record"/>
      <w:bookmarkEnd w:id="3"/>
      <w:r>
        <w:rPr/>
        <w:t>4. Execution Record Requirements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8"/>
        <w:gridCol w:w="8044"/>
      </w:tblGrid>
      <w:tr>
        <w:trPr/>
        <w:tc>
          <w:tcPr>
            <w:tcW w:w="17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Record</w:t>
            </w:r>
          </w:p>
        </w:tc>
        <w:tc>
          <w:tcPr>
            <w:tcW w:w="804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Required content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Execution identity</w:t>
            </w:r>
          </w:p>
        </w:tc>
        <w:tc>
          <w:tcPr>
            <w:tcW w:w="804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Case ID, build/commit, environment, tester and date/time.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Outcome</w:t>
            </w:r>
          </w:p>
        </w:tc>
        <w:tc>
          <w:tcPr>
            <w:tcW w:w="804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Actual result, pass/fail/blocked status and defect ID if applicable.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Evidence</w:t>
            </w:r>
          </w:p>
        </w:tc>
        <w:tc>
          <w:tcPr>
            <w:tcW w:w="804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Redacted response/screenshot/log/report references sufficient to reproduce the conclusion.</w:t>
            </w:r>
          </w:p>
        </w:tc>
      </w:tr>
      <w:tr>
        <w:trPr/>
        <w:tc>
          <w:tcPr>
            <w:tcW w:w="170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Review</w:t>
            </w:r>
          </w:p>
        </w:tc>
        <w:tc>
          <w:tcPr>
            <w:tcW w:w="804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Retest result after fixes and final requirement coverage sign-off.</w:t>
            </w:r>
          </w:p>
        </w:tc>
      </w:tr>
    </w:tbl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020" w:gutter="0" w:header="0" w:top="1020" w:footer="0" w:bottom="1077"/>
      <w:pgNumType w:fmt="decimal"/>
      <w:formProt w:val="false"/>
      <w:textDirection w:val="lrTb"/>
      <w:docGrid w:type="default" w:linePitch="600" w:charSpace="3993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1"/>
    </w:pPr>
    <w:rPr>
      <w:rFonts w:ascii="Liberation Sans;Arial;sans-serif" w:hAnsi="Liberation Sans;Arial;sans-serif" w:eastAsia="Liberation Sans;Arial;sans-serif" w:cs="Liberation Sans;Arial;sans-serif"/>
      <w:color w:val="17212B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Bdr>
        <w:bottom w:val="single" w:sz="12" w:space="4" w:color="1F6F8B"/>
      </w:pBdr>
      <w:spacing w:before="440" w:after="200"/>
      <w:ind w:start="440" w:end="440"/>
    </w:pPr>
    <w:rPr>
      <w:b/>
      <w:bCs/>
      <w:color w:val="143A5A"/>
      <w:sz w:val="36"/>
      <w:szCs w:val="36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spacing w:before="340" w:after="140"/>
      <w:ind w:start="340" w:end="340"/>
      <w:outlineLvl w:val="1"/>
    </w:pPr>
    <w:rPr>
      <w:rFonts w:ascii="Liberation Serif" w:hAnsi="Liberation Serif" w:eastAsia="Noto Serif CJK SC" w:cs="FreeSans"/>
      <w:b/>
      <w:bCs/>
      <w:color w:val="143A5A"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260" w:after="100"/>
      <w:ind w:start="260" w:end="260"/>
      <w:outlineLvl w:val="2"/>
    </w:pPr>
    <w:rPr>
      <w:rFonts w:ascii="Liberation Serif" w:hAnsi="Liberation Serif" w:eastAsia="Noto Serif CJK SC" w:cs="FreeSans"/>
      <w:b/>
      <w:bCs/>
      <w:color w:val="143A5A"/>
      <w:sz w:val="23"/>
      <w:szCs w:val="23"/>
    </w:rPr>
  </w:style>
  <w:style w:type="paragraph" w:styleId="Heading4">
    <w:name w:val="heading 4"/>
    <w:basedOn w:val="Heading"/>
    <w:next w:val="BodyText"/>
    <w:qFormat/>
    <w:pPr>
      <w:keepNext w:val="true"/>
      <w:numPr>
        <w:ilvl w:val="0"/>
        <w:numId w:val="0"/>
      </w:numPr>
      <w:spacing w:before="200" w:after="80"/>
      <w:ind w:start="200" w:end="200"/>
      <w:outlineLvl w:val="3"/>
    </w:pPr>
    <w:rPr>
      <w:rFonts w:ascii="Liberation Serif" w:hAnsi="Liberation Serif" w:eastAsia="Noto Serif CJK SC" w:cs="FreeSans"/>
      <w:b/>
      <w:bCs/>
      <w:color w:val="143A5A"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color w:val="7A2448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143A5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900</Words>
  <Characters>5684</Characters>
  <CharactersWithSpaces>6420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Test Case Update — Railway Reservation System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