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951" w14:textId="77777777" w:rsidR="00FB1616" w:rsidRPr="00754C8A" w:rsidRDefault="00FB1616" w:rsidP="00FB161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54C8A">
        <w:rPr>
          <w:sz w:val="32"/>
          <w:szCs w:val="32"/>
        </w:rPr>
        <w:t>Technology absolutely dominates—no contest. Stack it up against Furniture and Office Supplies, and it’s obvious where the real money comes from.</w:t>
      </w:r>
    </w:p>
    <w:p w14:paraId="1D0EA021" w14:textId="77777777" w:rsidR="00FB1616" w:rsidRPr="00754C8A" w:rsidRDefault="00FB1616" w:rsidP="00FB1616">
      <w:pPr>
        <w:rPr>
          <w:sz w:val="32"/>
          <w:szCs w:val="32"/>
        </w:rPr>
      </w:pPr>
    </w:p>
    <w:p w14:paraId="5521D473" w14:textId="77777777" w:rsidR="00FB1616" w:rsidRPr="00754C8A" w:rsidRDefault="00FB1616" w:rsidP="00FB161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54C8A">
        <w:rPr>
          <w:sz w:val="32"/>
          <w:szCs w:val="32"/>
        </w:rPr>
        <w:t xml:space="preserve">Now, if you look at regions, the West sits on top. It’s way ahead in total sales. The East </w:t>
      </w:r>
      <w:proofErr w:type="gramStart"/>
      <w:r w:rsidRPr="00754C8A">
        <w:rPr>
          <w:sz w:val="32"/>
          <w:szCs w:val="32"/>
        </w:rPr>
        <w:t>does</w:t>
      </w:r>
      <w:proofErr w:type="gramEnd"/>
      <w:r w:rsidRPr="00754C8A">
        <w:rPr>
          <w:sz w:val="32"/>
          <w:szCs w:val="32"/>
        </w:rPr>
        <w:t xml:space="preserve"> alright, but the South just can’t keep up. Either people there aren’t spending as much, or maybe we’re just not reaching them like we should.</w:t>
      </w:r>
    </w:p>
    <w:p w14:paraId="0DE01E0A" w14:textId="77777777" w:rsidR="00FB1616" w:rsidRPr="00754C8A" w:rsidRDefault="00FB1616" w:rsidP="00FB1616">
      <w:pPr>
        <w:rPr>
          <w:sz w:val="32"/>
          <w:szCs w:val="32"/>
        </w:rPr>
      </w:pPr>
    </w:p>
    <w:p w14:paraId="69ED2C70" w14:textId="77777777" w:rsidR="00FB1616" w:rsidRPr="00754C8A" w:rsidRDefault="00FB1616" w:rsidP="00FB161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54C8A">
        <w:rPr>
          <w:sz w:val="32"/>
          <w:szCs w:val="32"/>
        </w:rPr>
        <w:t>When you break down who’s actually buying, it’s regular consumers leading the charge everywhere. Corporate and Home Office customers are in the mix, sure, but they’re more of a supporting act than the stars.</w:t>
      </w:r>
    </w:p>
    <w:p w14:paraId="4ACEB77A" w14:textId="77777777" w:rsidR="00FB1616" w:rsidRPr="00754C8A" w:rsidRDefault="00FB1616" w:rsidP="00FB1616">
      <w:pPr>
        <w:rPr>
          <w:sz w:val="32"/>
          <w:szCs w:val="32"/>
        </w:rPr>
      </w:pPr>
    </w:p>
    <w:p w14:paraId="7761A7A5" w14:textId="77777777" w:rsidR="00FB1616" w:rsidRPr="00754C8A" w:rsidRDefault="00FB1616" w:rsidP="00FB161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54C8A">
        <w:rPr>
          <w:sz w:val="32"/>
          <w:szCs w:val="32"/>
        </w:rPr>
        <w:t xml:space="preserve">Furniture moves a lot of units, but the profits just aren’t there. Technology and Office Supplies bring in way better margins. Maybe prices are too low on </w:t>
      </w:r>
      <w:proofErr w:type="gramStart"/>
      <w:r w:rsidRPr="00754C8A">
        <w:rPr>
          <w:sz w:val="32"/>
          <w:szCs w:val="32"/>
        </w:rPr>
        <w:t>Furniture, or</w:t>
      </w:r>
      <w:proofErr w:type="gramEnd"/>
      <w:r w:rsidRPr="00754C8A">
        <w:rPr>
          <w:sz w:val="32"/>
          <w:szCs w:val="32"/>
        </w:rPr>
        <w:t xml:space="preserve"> maybe costs and discounts are eating away at the profits.</w:t>
      </w:r>
    </w:p>
    <w:p w14:paraId="78696D75" w14:textId="77777777" w:rsidR="00FB1616" w:rsidRPr="00754C8A" w:rsidRDefault="00FB1616" w:rsidP="00FB1616">
      <w:pPr>
        <w:rPr>
          <w:sz w:val="32"/>
          <w:szCs w:val="32"/>
        </w:rPr>
      </w:pPr>
    </w:p>
    <w:p w14:paraId="12742D56" w14:textId="7F991FE8" w:rsidR="00AA7479" w:rsidRPr="00754C8A" w:rsidRDefault="00FB1616" w:rsidP="00FB161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54C8A">
        <w:rPr>
          <w:sz w:val="32"/>
          <w:szCs w:val="32"/>
        </w:rPr>
        <w:t>The West isn’t just good at selling—a lot of those sales actually turn into profits. Meanwhile, the Central region struggles to make money. That’s a big red flag. It’s probably time to adjust prices, rein in the discounts, or just get a lot smarter about how things run over there.</w:t>
      </w:r>
    </w:p>
    <w:sectPr w:rsidR="00AA7479" w:rsidRPr="00754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10F67"/>
    <w:multiLevelType w:val="hybridMultilevel"/>
    <w:tmpl w:val="0E18F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63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79"/>
    <w:rsid w:val="00754C8A"/>
    <w:rsid w:val="00843556"/>
    <w:rsid w:val="00AA7479"/>
    <w:rsid w:val="00FB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F146"/>
  <w15:chartTrackingRefBased/>
  <w15:docId w15:val="{F57D4961-2560-47C2-9040-5ACDC322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Ramesh Srikakulam</dc:creator>
  <cp:keywords/>
  <dc:description/>
  <cp:lastModifiedBy>Venkata Ramesh Srikakulam</cp:lastModifiedBy>
  <cp:revision>3</cp:revision>
  <dcterms:created xsi:type="dcterms:W3CDTF">2026-01-16T13:19:00Z</dcterms:created>
  <dcterms:modified xsi:type="dcterms:W3CDTF">2026-01-16T13:20:00Z</dcterms:modified>
</cp:coreProperties>
</file>